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A500A" w14:textId="77777777" w:rsidR="00286661" w:rsidRPr="004B32B8" w:rsidRDefault="00286661" w:rsidP="00286661">
      <w:pPr>
        <w:rPr>
          <w:rFonts w:ascii="Calibri Light" w:hAnsi="Calibri Light"/>
          <w:szCs w:val="24"/>
        </w:rPr>
      </w:pPr>
      <w:bookmarkStart w:id="0" w:name="_GoBack"/>
      <w:bookmarkEnd w:id="0"/>
    </w:p>
    <w:p w14:paraId="46C14A5D" w14:textId="3604C806" w:rsidR="00286661" w:rsidRPr="004B32B8" w:rsidRDefault="00286661" w:rsidP="00286661">
      <w:pPr>
        <w:pStyle w:val="Heading1"/>
        <w:jc w:val="center"/>
        <w:rPr>
          <w:rFonts w:ascii="Calibri Light" w:hAnsi="Calibri Light"/>
          <w:sz w:val="24"/>
          <w:szCs w:val="24"/>
        </w:rPr>
      </w:pPr>
      <w:r w:rsidRPr="004B32B8">
        <w:rPr>
          <w:rFonts w:ascii="Calibri Light" w:hAnsi="Calibri Light"/>
          <w:sz w:val="24"/>
          <w:szCs w:val="24"/>
        </w:rPr>
        <w:t>Data Security Policy</w:t>
      </w:r>
    </w:p>
    <w:p w14:paraId="004E9F7D" w14:textId="77777777" w:rsidR="00286661" w:rsidRPr="004B32B8" w:rsidRDefault="00286661" w:rsidP="00286661">
      <w:pPr>
        <w:pStyle w:val="Heading2"/>
        <w:numPr>
          <w:ilvl w:val="0"/>
          <w:numId w:val="24"/>
        </w:numPr>
        <w:spacing w:before="40" w:line="360" w:lineRule="auto"/>
        <w:rPr>
          <w:rFonts w:ascii="Calibri Light" w:hAnsi="Calibri Light"/>
          <w:sz w:val="24"/>
          <w:szCs w:val="24"/>
        </w:rPr>
      </w:pPr>
      <w:r w:rsidRPr="004B32B8">
        <w:rPr>
          <w:rFonts w:ascii="Calibri Light" w:hAnsi="Calibri Light"/>
          <w:sz w:val="24"/>
          <w:szCs w:val="24"/>
        </w:rPr>
        <w:t>Introduction</w:t>
      </w:r>
    </w:p>
    <w:p w14:paraId="63493FBF" w14:textId="619A6E06"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t xml:space="preserve">This Data Security Policy is </w:t>
      </w:r>
      <w:r w:rsidR="004B32B8" w:rsidRPr="004B32B8">
        <w:rPr>
          <w:rFonts w:ascii="Calibri Light" w:hAnsi="Calibri Light"/>
          <w:szCs w:val="24"/>
        </w:rPr>
        <w:t xml:space="preserve">Lathom road medical centre’s </w:t>
      </w:r>
      <w:r w:rsidRPr="004B32B8">
        <w:rPr>
          <w:rFonts w:ascii="Calibri Light" w:hAnsi="Calibri Light"/>
          <w:szCs w:val="24"/>
        </w:rPr>
        <w:t>(hereafter referred to as "us", "we", or "our") policy regarding the safeguarding and protection of sensitive personal information and confidential information as is required by law (including, but not limited to, the Data Protection Act 2018, Health &amp; Social Care Act 2012, and the Common Law duty of confidentiality).</w:t>
      </w:r>
    </w:p>
    <w:p w14:paraId="0C1F6B37" w14:textId="77777777" w:rsidR="00286661" w:rsidRPr="004B32B8" w:rsidRDefault="00286661" w:rsidP="00286661">
      <w:pPr>
        <w:pStyle w:val="Heading2"/>
        <w:numPr>
          <w:ilvl w:val="0"/>
          <w:numId w:val="24"/>
        </w:numPr>
        <w:spacing w:before="40" w:line="360" w:lineRule="auto"/>
        <w:rPr>
          <w:rFonts w:ascii="Calibri Light" w:hAnsi="Calibri Light"/>
          <w:sz w:val="24"/>
          <w:szCs w:val="24"/>
        </w:rPr>
      </w:pPr>
      <w:r w:rsidRPr="004B32B8">
        <w:rPr>
          <w:rFonts w:ascii="Calibri Light" w:hAnsi="Calibri Light"/>
          <w:sz w:val="24"/>
          <w:szCs w:val="24"/>
        </w:rPr>
        <w:t>Purpose</w:t>
      </w:r>
    </w:p>
    <w:p w14:paraId="2C60E344" w14:textId="77777777" w:rsidR="00286661" w:rsidRPr="004B32B8" w:rsidRDefault="00286661" w:rsidP="00286661">
      <w:pPr>
        <w:numPr>
          <w:ilvl w:val="1"/>
          <w:numId w:val="24"/>
        </w:numPr>
        <w:spacing w:after="160" w:line="360" w:lineRule="auto"/>
        <w:rPr>
          <w:rFonts w:ascii="Calibri Light" w:hAnsi="Calibri Light"/>
          <w:szCs w:val="24"/>
        </w:rPr>
      </w:pPr>
      <w:r w:rsidRPr="004B32B8">
        <w:rPr>
          <w:rFonts w:ascii="Calibri Light" w:hAnsi="Calibri Light"/>
          <w:szCs w:val="24"/>
        </w:rPr>
        <w:t xml:space="preserve">The purpose of this document is to outline how we prevent data security breaches and how we react to them when prevention is not possible. By data breach we mean a security incident in which the confidentiality, integrity or availability of data is compromised. A breach can either be purposeful or accidental. </w:t>
      </w:r>
    </w:p>
    <w:p w14:paraId="1BFB69B8" w14:textId="77777777" w:rsidR="00286661" w:rsidRPr="004B32B8" w:rsidRDefault="00286661" w:rsidP="00286661">
      <w:pPr>
        <w:numPr>
          <w:ilvl w:val="1"/>
          <w:numId w:val="24"/>
        </w:numPr>
        <w:spacing w:after="160" w:line="360" w:lineRule="auto"/>
        <w:rPr>
          <w:rFonts w:ascii="Calibri Light" w:hAnsi="Calibri Light"/>
          <w:szCs w:val="24"/>
        </w:rPr>
      </w:pPr>
      <w:r w:rsidRPr="004B32B8">
        <w:rPr>
          <w:rFonts w:ascii="Calibri Light" w:hAnsi="Calibri Light"/>
          <w:szCs w:val="24"/>
        </w:rPr>
        <w:t>This Data Security Policy covers:</w:t>
      </w:r>
    </w:p>
    <w:p w14:paraId="17136C4C" w14:textId="5387A055" w:rsidR="00286661" w:rsidRPr="004B32B8" w:rsidRDefault="00286661" w:rsidP="00286661">
      <w:pPr>
        <w:numPr>
          <w:ilvl w:val="2"/>
          <w:numId w:val="24"/>
        </w:numPr>
        <w:spacing w:after="160" w:line="360" w:lineRule="auto"/>
        <w:rPr>
          <w:rFonts w:ascii="Calibri Light" w:hAnsi="Calibri Light"/>
          <w:szCs w:val="24"/>
        </w:rPr>
      </w:pPr>
      <w:r w:rsidRPr="004B32B8">
        <w:rPr>
          <w:rFonts w:ascii="Calibri Light" w:hAnsi="Calibri Light"/>
          <w:szCs w:val="24"/>
        </w:rPr>
        <w:t xml:space="preserve">Physical Access </w:t>
      </w:r>
      <w:r w:rsidR="00B812F5" w:rsidRPr="004B32B8">
        <w:rPr>
          <w:rFonts w:ascii="Calibri Light" w:hAnsi="Calibri Light"/>
          <w:szCs w:val="24"/>
        </w:rPr>
        <w:t>p</w:t>
      </w:r>
      <w:r w:rsidRPr="004B32B8">
        <w:rPr>
          <w:rFonts w:ascii="Calibri Light" w:hAnsi="Calibri Light"/>
          <w:szCs w:val="24"/>
        </w:rPr>
        <w:t>rocedures;</w:t>
      </w:r>
    </w:p>
    <w:p w14:paraId="5F2E58C7" w14:textId="57517722" w:rsidR="00286661" w:rsidRPr="004B32B8" w:rsidRDefault="00286661" w:rsidP="00286661">
      <w:pPr>
        <w:numPr>
          <w:ilvl w:val="2"/>
          <w:numId w:val="24"/>
        </w:numPr>
        <w:spacing w:after="160" w:line="360" w:lineRule="auto"/>
        <w:rPr>
          <w:rFonts w:ascii="Calibri Light" w:hAnsi="Calibri Light"/>
          <w:szCs w:val="24"/>
        </w:rPr>
      </w:pPr>
      <w:r w:rsidRPr="004B32B8">
        <w:rPr>
          <w:rFonts w:ascii="Calibri Light" w:hAnsi="Calibri Light"/>
          <w:szCs w:val="24"/>
        </w:rPr>
        <w:t xml:space="preserve">Digital Access </w:t>
      </w:r>
      <w:r w:rsidR="00B812F5" w:rsidRPr="004B32B8">
        <w:rPr>
          <w:rFonts w:ascii="Calibri Light" w:hAnsi="Calibri Light"/>
          <w:szCs w:val="24"/>
        </w:rPr>
        <w:t>p</w:t>
      </w:r>
      <w:r w:rsidRPr="004B32B8">
        <w:rPr>
          <w:rFonts w:ascii="Calibri Light" w:hAnsi="Calibri Light"/>
          <w:szCs w:val="24"/>
        </w:rPr>
        <w:t>rocedures;</w:t>
      </w:r>
    </w:p>
    <w:p w14:paraId="1010BAD7" w14:textId="1A6A1F0A" w:rsidR="00286661" w:rsidRPr="004B32B8" w:rsidRDefault="00286661" w:rsidP="00286661">
      <w:pPr>
        <w:numPr>
          <w:ilvl w:val="2"/>
          <w:numId w:val="24"/>
        </w:numPr>
        <w:spacing w:after="160" w:line="360" w:lineRule="auto"/>
        <w:rPr>
          <w:rFonts w:ascii="Calibri Light" w:hAnsi="Calibri Light"/>
          <w:szCs w:val="24"/>
        </w:rPr>
      </w:pPr>
      <w:r w:rsidRPr="004B32B8">
        <w:rPr>
          <w:rFonts w:ascii="Calibri Light" w:hAnsi="Calibri Light"/>
          <w:szCs w:val="24"/>
        </w:rPr>
        <w:t xml:space="preserve">Access Monitoring </w:t>
      </w:r>
      <w:r w:rsidR="00B812F5" w:rsidRPr="004B32B8">
        <w:rPr>
          <w:rFonts w:ascii="Calibri Light" w:hAnsi="Calibri Light"/>
          <w:szCs w:val="24"/>
        </w:rPr>
        <w:t>p</w:t>
      </w:r>
      <w:r w:rsidRPr="004B32B8">
        <w:rPr>
          <w:rFonts w:ascii="Calibri Light" w:hAnsi="Calibri Light"/>
          <w:szCs w:val="24"/>
        </w:rPr>
        <w:t>rocedures;</w:t>
      </w:r>
    </w:p>
    <w:p w14:paraId="6CDC76D6" w14:textId="45313D1D" w:rsidR="00286661" w:rsidRPr="004B32B8" w:rsidRDefault="00286661" w:rsidP="00286661">
      <w:pPr>
        <w:numPr>
          <w:ilvl w:val="2"/>
          <w:numId w:val="24"/>
        </w:numPr>
        <w:spacing w:after="160" w:line="360" w:lineRule="auto"/>
        <w:rPr>
          <w:rFonts w:ascii="Calibri Light" w:hAnsi="Calibri Light"/>
          <w:szCs w:val="24"/>
        </w:rPr>
      </w:pPr>
      <w:r w:rsidRPr="004B32B8">
        <w:rPr>
          <w:rFonts w:ascii="Calibri Light" w:hAnsi="Calibri Light"/>
          <w:szCs w:val="24"/>
        </w:rPr>
        <w:t xml:space="preserve">Data Security Audit </w:t>
      </w:r>
      <w:r w:rsidR="00B812F5" w:rsidRPr="004B32B8">
        <w:rPr>
          <w:rFonts w:ascii="Calibri Light" w:hAnsi="Calibri Light"/>
          <w:szCs w:val="24"/>
        </w:rPr>
        <w:t>p</w:t>
      </w:r>
      <w:r w:rsidRPr="004B32B8">
        <w:rPr>
          <w:rFonts w:ascii="Calibri Light" w:hAnsi="Calibri Light"/>
          <w:szCs w:val="24"/>
        </w:rPr>
        <w:t>rocedures;</w:t>
      </w:r>
    </w:p>
    <w:p w14:paraId="60C7DA70" w14:textId="77777777" w:rsidR="00286661" w:rsidRPr="004B32B8" w:rsidRDefault="00286661" w:rsidP="00286661">
      <w:pPr>
        <w:numPr>
          <w:ilvl w:val="2"/>
          <w:numId w:val="24"/>
        </w:numPr>
        <w:spacing w:after="160" w:line="360" w:lineRule="auto"/>
        <w:rPr>
          <w:rFonts w:ascii="Calibri Light" w:hAnsi="Calibri Light"/>
          <w:szCs w:val="24"/>
        </w:rPr>
      </w:pPr>
      <w:r w:rsidRPr="004B32B8">
        <w:rPr>
          <w:rFonts w:ascii="Calibri Light" w:hAnsi="Calibri Light"/>
          <w:szCs w:val="24"/>
        </w:rPr>
        <w:t>Data Security Breach procedures.</w:t>
      </w:r>
    </w:p>
    <w:p w14:paraId="6E13EDB3" w14:textId="77777777" w:rsidR="00286661" w:rsidRPr="004B32B8" w:rsidRDefault="00286661" w:rsidP="00286661">
      <w:pPr>
        <w:pStyle w:val="Heading2"/>
        <w:numPr>
          <w:ilvl w:val="0"/>
          <w:numId w:val="24"/>
        </w:numPr>
        <w:spacing w:before="40" w:line="360" w:lineRule="auto"/>
        <w:rPr>
          <w:rFonts w:ascii="Calibri Light" w:hAnsi="Calibri Light"/>
          <w:sz w:val="24"/>
          <w:szCs w:val="24"/>
        </w:rPr>
      </w:pPr>
      <w:r w:rsidRPr="004B32B8">
        <w:rPr>
          <w:rFonts w:ascii="Calibri Light" w:hAnsi="Calibri Light"/>
          <w:sz w:val="24"/>
          <w:szCs w:val="24"/>
        </w:rPr>
        <w:t>Scope</w:t>
      </w:r>
    </w:p>
    <w:p w14:paraId="0D92E544" w14:textId="77777777"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t>This policy includes in its scope all data which we process either in hardcopy or digital copy, this includes special categories of data.</w:t>
      </w:r>
    </w:p>
    <w:p w14:paraId="57721148" w14:textId="77777777"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t xml:space="preserve">This policy applies to all staff, including temporary staff and contractors. </w:t>
      </w:r>
    </w:p>
    <w:p w14:paraId="4E0DDE1B" w14:textId="77777777" w:rsidR="00286661" w:rsidRPr="004B32B8" w:rsidRDefault="00286661" w:rsidP="00286661">
      <w:pPr>
        <w:pStyle w:val="Heading2"/>
        <w:numPr>
          <w:ilvl w:val="0"/>
          <w:numId w:val="24"/>
        </w:numPr>
        <w:spacing w:before="40" w:line="360" w:lineRule="auto"/>
        <w:rPr>
          <w:rFonts w:ascii="Calibri Light" w:hAnsi="Calibri Light"/>
          <w:sz w:val="24"/>
          <w:szCs w:val="24"/>
        </w:rPr>
      </w:pPr>
      <w:r w:rsidRPr="004B32B8">
        <w:rPr>
          <w:rFonts w:ascii="Calibri Light" w:hAnsi="Calibri Light"/>
          <w:sz w:val="24"/>
          <w:szCs w:val="24"/>
        </w:rPr>
        <w:t>Physical Access Procedures</w:t>
      </w:r>
    </w:p>
    <w:p w14:paraId="050EA1AE" w14:textId="77777777" w:rsidR="00286661" w:rsidRPr="004B32B8" w:rsidRDefault="00286661" w:rsidP="00286661">
      <w:pPr>
        <w:numPr>
          <w:ilvl w:val="1"/>
          <w:numId w:val="24"/>
        </w:numPr>
        <w:spacing w:after="160" w:line="360" w:lineRule="auto"/>
        <w:rPr>
          <w:rFonts w:ascii="Calibri Light" w:hAnsi="Calibri Light"/>
          <w:szCs w:val="24"/>
        </w:rPr>
      </w:pPr>
      <w:r w:rsidRPr="004B32B8">
        <w:rPr>
          <w:rFonts w:ascii="Calibri Light" w:hAnsi="Calibri Light"/>
          <w:szCs w:val="24"/>
        </w:rPr>
        <w:t>Physical access to records shall only be granted on a strict ‘Need to Know’ basis.</w:t>
      </w:r>
    </w:p>
    <w:p w14:paraId="1D5D4AF5" w14:textId="77777777"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lastRenderedPageBreak/>
        <w:t xml:space="preserve">During their induction each staff member who requires access to confidential information for their job role will be trained on the safe handling of all information and will be taught the procedures which govern how data is used, stored, shared and organised in our organisation. </w:t>
      </w:r>
    </w:p>
    <w:p w14:paraId="1F115C11" w14:textId="77777777" w:rsidR="00286661" w:rsidRPr="004B32B8" w:rsidRDefault="00286661" w:rsidP="00286661">
      <w:pPr>
        <w:numPr>
          <w:ilvl w:val="1"/>
          <w:numId w:val="24"/>
        </w:numPr>
        <w:spacing w:after="160" w:line="360" w:lineRule="auto"/>
        <w:rPr>
          <w:rFonts w:ascii="Calibri Light" w:hAnsi="Calibri Light"/>
          <w:szCs w:val="24"/>
        </w:rPr>
      </w:pPr>
      <w:r w:rsidRPr="004B32B8">
        <w:rPr>
          <w:rFonts w:ascii="Calibri Light" w:hAnsi="Calibri Light"/>
          <w:szCs w:val="24"/>
        </w:rPr>
        <w:t xml:space="preserve">Our staff must retain personal and confidential data securely in locked storage when not in use and keys should not be left in the barrels of filing cabinets and doors. </w:t>
      </w:r>
    </w:p>
    <w:p w14:paraId="7805C174" w14:textId="7BB12203" w:rsidR="00286661" w:rsidRPr="004B32B8" w:rsidRDefault="004B32B8" w:rsidP="00286661">
      <w:pPr>
        <w:numPr>
          <w:ilvl w:val="1"/>
          <w:numId w:val="24"/>
        </w:numPr>
        <w:spacing w:after="160" w:line="360" w:lineRule="auto"/>
        <w:rPr>
          <w:rFonts w:ascii="Calibri Light" w:hAnsi="Calibri Light"/>
          <w:szCs w:val="24"/>
        </w:rPr>
      </w:pPr>
      <w:r w:rsidRPr="004B32B8">
        <w:rPr>
          <w:rFonts w:ascii="Calibri Light" w:hAnsi="Calibri Light"/>
          <w:szCs w:val="24"/>
        </w:rPr>
        <w:t xml:space="preserve">Cabinets in reception area and near stairs, Reception area, penthouse and practice manager’s office are the areas where confidential records are kept. </w:t>
      </w:r>
      <w:r w:rsidR="00286661" w:rsidRPr="004B32B8">
        <w:rPr>
          <w:rFonts w:ascii="Calibri Light" w:hAnsi="Calibri Light"/>
          <w:szCs w:val="24"/>
        </w:rPr>
        <w:t xml:space="preserve">All offices, when left unoccupied, must be locked unless all personal and confidential information has first been cleared off work stations/desks and secured in locked storage. </w:t>
      </w:r>
    </w:p>
    <w:p w14:paraId="0FDB71B6" w14:textId="77777777"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t>The Information Asset Register (IAR) will contain the location of all confidential and sensitive personal information.</w:t>
      </w:r>
    </w:p>
    <w:p w14:paraId="70A5FC40" w14:textId="77777777"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t>We will risk assess each storage location to ensure that the data is properly secured. This risk assessment forms part of the IAR.</w:t>
      </w:r>
    </w:p>
    <w:p w14:paraId="2ACB18BD" w14:textId="005141ED"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t>A record will be kept of who has access to each storage location. This record can be found</w:t>
      </w:r>
      <w:r w:rsidR="004B32B8" w:rsidRPr="004B32B8">
        <w:rPr>
          <w:rFonts w:ascii="Calibri Light" w:hAnsi="Calibri Light"/>
          <w:i/>
          <w:szCs w:val="24"/>
        </w:rPr>
        <w:t xml:space="preserve"> </w:t>
      </w:r>
      <w:r w:rsidR="004B32B8" w:rsidRPr="004B32B8">
        <w:rPr>
          <w:rFonts w:ascii="Calibri Light" w:hAnsi="Calibri Light"/>
          <w:szCs w:val="24"/>
        </w:rPr>
        <w:t>Practice manager’s room in first floor</w:t>
      </w:r>
      <w:r w:rsidRPr="004B32B8">
        <w:rPr>
          <w:rFonts w:ascii="Calibri Light" w:hAnsi="Calibri Light"/>
          <w:szCs w:val="24"/>
        </w:rPr>
        <w:t>.</w:t>
      </w:r>
    </w:p>
    <w:p w14:paraId="4C80DD4E" w14:textId="77777777"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t>An audit will be completed at least annually to ensure that information is secured properly and that access is restricted to those who have a legal requirement to use the information. The details of this audit are outlined in the Data Security Audit Procedures [7] below.</w:t>
      </w:r>
    </w:p>
    <w:p w14:paraId="06B6E097" w14:textId="77777777" w:rsidR="00286661" w:rsidRPr="004B32B8" w:rsidRDefault="00286661" w:rsidP="00286661">
      <w:pPr>
        <w:pStyle w:val="Heading2"/>
        <w:numPr>
          <w:ilvl w:val="0"/>
          <w:numId w:val="24"/>
        </w:numPr>
        <w:spacing w:before="40" w:line="360" w:lineRule="auto"/>
        <w:rPr>
          <w:rFonts w:ascii="Calibri Light" w:hAnsi="Calibri Light"/>
          <w:sz w:val="24"/>
          <w:szCs w:val="24"/>
        </w:rPr>
      </w:pPr>
      <w:r w:rsidRPr="004B32B8">
        <w:rPr>
          <w:rFonts w:ascii="Calibri Light" w:hAnsi="Calibri Light"/>
          <w:sz w:val="24"/>
          <w:szCs w:val="24"/>
        </w:rPr>
        <w:t>Digital Access Procedures</w:t>
      </w:r>
    </w:p>
    <w:p w14:paraId="30D2BFDF" w14:textId="77777777"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t>Access shall be granted using the principle of ‘Least Privilege’. This means that every program and every user of the system should operate using the least set of privileges necessary to complete their job.</w:t>
      </w:r>
    </w:p>
    <w:p w14:paraId="20179EA3" w14:textId="77777777"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t>We will ensure that each user is identified by a unique user ID so that users can be linked to and made responsible for their actions.</w:t>
      </w:r>
    </w:p>
    <w:p w14:paraId="452D97C6" w14:textId="394ADB9E"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t>The use of group IDs is only permitted where they are su</w:t>
      </w:r>
      <w:r w:rsidR="004B32B8" w:rsidRPr="004B32B8">
        <w:rPr>
          <w:rFonts w:ascii="Calibri Light" w:hAnsi="Calibri Light"/>
          <w:szCs w:val="24"/>
        </w:rPr>
        <w:t>itable for the work carried out</w:t>
      </w:r>
      <w:r w:rsidRPr="004B32B8">
        <w:rPr>
          <w:rFonts w:ascii="Calibri Light" w:hAnsi="Calibri Light"/>
          <w:szCs w:val="24"/>
        </w:rPr>
        <w:t>.</w:t>
      </w:r>
    </w:p>
    <w:p w14:paraId="0124687E" w14:textId="77777777"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lastRenderedPageBreak/>
        <w:t>During their induction each staff member who requires access to digital systems for their job role will be trained on the use of the system, given their user login details, and they will be required to sign to indicate that they understand the conditions of access.</w:t>
      </w:r>
    </w:p>
    <w:p w14:paraId="6CC949EA" w14:textId="2186B877"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t xml:space="preserve">A record is kept of all users given access to the system. This record can be found </w:t>
      </w:r>
      <w:r w:rsidR="004B32B8" w:rsidRPr="004B32B8">
        <w:rPr>
          <w:rFonts w:ascii="Calibri Light" w:hAnsi="Calibri Light"/>
          <w:b/>
          <w:i/>
          <w:szCs w:val="24"/>
          <w:u w:val="single"/>
        </w:rPr>
        <w:t>Practice manager’s room in first floor</w:t>
      </w:r>
      <w:r w:rsidR="004B32B8" w:rsidRPr="004B32B8">
        <w:rPr>
          <w:rFonts w:ascii="Calibri Light" w:hAnsi="Calibri Light"/>
          <w:szCs w:val="24"/>
        </w:rPr>
        <w:t>.</w:t>
      </w:r>
    </w:p>
    <w:p w14:paraId="0125934B" w14:textId="3B637BCA"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t xml:space="preserve">In the instance that there are changes to user access requirements, these can only be authorised by the </w:t>
      </w:r>
      <w:r w:rsidR="00260778" w:rsidRPr="004B32B8">
        <w:rPr>
          <w:rFonts w:ascii="Calibri Light" w:hAnsi="Calibri Light"/>
          <w:szCs w:val="24"/>
        </w:rPr>
        <w:t>Data Security and Protection Lead</w:t>
      </w:r>
      <w:r w:rsidRPr="004B32B8">
        <w:rPr>
          <w:rFonts w:ascii="Calibri Light" w:hAnsi="Calibri Light"/>
          <w:szCs w:val="24"/>
        </w:rPr>
        <w:t xml:space="preserve"> or </w:t>
      </w:r>
      <w:r w:rsidR="004B32B8" w:rsidRPr="004B32B8">
        <w:rPr>
          <w:rFonts w:ascii="Calibri Light" w:hAnsi="Calibri Light"/>
          <w:szCs w:val="24"/>
        </w:rPr>
        <w:t>Practice manager.</w:t>
      </w:r>
      <w:r w:rsidR="004B32B8" w:rsidRPr="004B32B8">
        <w:rPr>
          <w:rFonts w:ascii="Calibri Light" w:hAnsi="Calibri Light"/>
          <w:b/>
          <w:szCs w:val="24"/>
        </w:rPr>
        <w:t xml:space="preserve"> </w:t>
      </w:r>
    </w:p>
    <w:p w14:paraId="199057E0" w14:textId="77777777"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t>The IAR will contain the location of all confidential and sensitive personal information which is digitally stored.</w:t>
      </w:r>
    </w:p>
    <w:p w14:paraId="5187E59F" w14:textId="3141237A"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t xml:space="preserve">We will follow robust password management procedures and ensure that all staff are trained in password management. </w:t>
      </w:r>
    </w:p>
    <w:p w14:paraId="6580E169" w14:textId="77777777"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t>As soon as an employee leaves, all their system logons are revoked.</w:t>
      </w:r>
    </w:p>
    <w:p w14:paraId="1C5456CF" w14:textId="67C0956C"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t xml:space="preserve">As part of the employee termination process the </w:t>
      </w:r>
      <w:r w:rsidR="00260778" w:rsidRPr="004B32B8">
        <w:rPr>
          <w:rFonts w:ascii="Calibri Light" w:hAnsi="Calibri Light"/>
          <w:szCs w:val="24"/>
        </w:rPr>
        <w:t>Data Security and Protection Lead</w:t>
      </w:r>
      <w:r w:rsidRPr="004B32B8">
        <w:rPr>
          <w:rFonts w:ascii="Calibri Light" w:hAnsi="Calibri Light"/>
          <w:szCs w:val="24"/>
        </w:rPr>
        <w:t xml:space="preserve"> or </w:t>
      </w:r>
      <w:r w:rsidR="004B32B8" w:rsidRPr="004B32B8">
        <w:rPr>
          <w:rFonts w:ascii="Calibri Light" w:hAnsi="Calibri Light"/>
          <w:szCs w:val="24"/>
        </w:rPr>
        <w:t xml:space="preserve">Practice manager </w:t>
      </w:r>
      <w:r w:rsidRPr="004B32B8">
        <w:rPr>
          <w:rFonts w:ascii="Calibri Light" w:hAnsi="Calibri Light"/>
          <w:szCs w:val="24"/>
        </w:rPr>
        <w:t xml:space="preserve">is responsible for the removal of access rights from the computer system. </w:t>
      </w:r>
    </w:p>
    <w:p w14:paraId="6A92F89F" w14:textId="5A9C0CDB"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t xml:space="preserve">The </w:t>
      </w:r>
      <w:r w:rsidR="00260778" w:rsidRPr="004B32B8">
        <w:rPr>
          <w:rFonts w:ascii="Calibri Light" w:hAnsi="Calibri Light"/>
          <w:szCs w:val="24"/>
        </w:rPr>
        <w:t>Data Security and Protection Lead</w:t>
      </w:r>
      <w:r w:rsidRPr="004B32B8">
        <w:rPr>
          <w:rFonts w:ascii="Calibri Light" w:hAnsi="Calibri Light"/>
          <w:szCs w:val="24"/>
        </w:rPr>
        <w:t xml:space="preserve"> or </w:t>
      </w:r>
      <w:r w:rsidR="004B32B8" w:rsidRPr="004B32B8">
        <w:rPr>
          <w:rFonts w:ascii="Calibri Light" w:hAnsi="Calibri Light"/>
          <w:szCs w:val="24"/>
        </w:rPr>
        <w:t>Practice manager</w:t>
      </w:r>
      <w:r w:rsidRPr="004B32B8">
        <w:rPr>
          <w:rFonts w:ascii="Calibri Light" w:hAnsi="Calibri Light"/>
          <w:szCs w:val="24"/>
        </w:rPr>
        <w:t xml:space="preserve"> will review all access rights on a regular basis, but in any event at least once a year. The review is designed to positively confirm all system users. Any lapsed or unwanted logons which are identified are disabled immediately and deleted unless positively reconfirmed. </w:t>
      </w:r>
    </w:p>
    <w:p w14:paraId="2358D929" w14:textId="7CAFB9B6"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t>When not in use all screens will be locked and a clear screen policy will be followed.</w:t>
      </w:r>
    </w:p>
    <w:p w14:paraId="228FB4DD" w14:textId="77777777" w:rsidR="00286661" w:rsidRPr="004B32B8" w:rsidRDefault="00286661" w:rsidP="00286661">
      <w:pPr>
        <w:pStyle w:val="Heading2"/>
        <w:numPr>
          <w:ilvl w:val="0"/>
          <w:numId w:val="24"/>
        </w:numPr>
        <w:spacing w:before="40" w:line="360" w:lineRule="auto"/>
        <w:rPr>
          <w:rFonts w:ascii="Calibri Light" w:hAnsi="Calibri Light"/>
          <w:sz w:val="24"/>
          <w:szCs w:val="24"/>
        </w:rPr>
      </w:pPr>
      <w:r w:rsidRPr="004B32B8">
        <w:rPr>
          <w:rFonts w:ascii="Calibri Light" w:hAnsi="Calibri Light"/>
          <w:sz w:val="24"/>
          <w:szCs w:val="24"/>
        </w:rPr>
        <w:t>Access Monitoring Procedures</w:t>
      </w:r>
    </w:p>
    <w:p w14:paraId="7E1A5A3F" w14:textId="77777777" w:rsidR="00286661" w:rsidRPr="004B32B8" w:rsidRDefault="00286661" w:rsidP="00286661">
      <w:pPr>
        <w:numPr>
          <w:ilvl w:val="1"/>
          <w:numId w:val="24"/>
        </w:numPr>
        <w:spacing w:after="160" w:line="360" w:lineRule="auto"/>
        <w:rPr>
          <w:rFonts w:ascii="Calibri Light" w:hAnsi="Calibri Light"/>
          <w:szCs w:val="24"/>
        </w:rPr>
      </w:pPr>
      <w:r w:rsidRPr="004B32B8">
        <w:rPr>
          <w:rFonts w:ascii="Calibri Light" w:hAnsi="Calibri Light"/>
          <w:szCs w:val="24"/>
        </w:rPr>
        <w:t xml:space="preserve">The management of digital access rights is subject to regular compliance checks to ensure that these procedures are being followed and that staff are complying with their duty to use their access rights in an appropriate manner. </w:t>
      </w:r>
    </w:p>
    <w:p w14:paraId="54052C87" w14:textId="77777777" w:rsidR="00286661" w:rsidRPr="004B32B8" w:rsidRDefault="00286661" w:rsidP="00286661">
      <w:pPr>
        <w:numPr>
          <w:ilvl w:val="1"/>
          <w:numId w:val="24"/>
        </w:numPr>
        <w:spacing w:after="160" w:line="360" w:lineRule="auto"/>
        <w:rPr>
          <w:rFonts w:ascii="Calibri Light" w:hAnsi="Calibri Light"/>
          <w:szCs w:val="24"/>
        </w:rPr>
      </w:pPr>
      <w:r w:rsidRPr="004B32B8">
        <w:rPr>
          <w:rFonts w:ascii="Calibri Light" w:hAnsi="Calibri Light"/>
          <w:szCs w:val="24"/>
        </w:rPr>
        <w:t>Areas considered in the compliance check include whether:</w:t>
      </w:r>
    </w:p>
    <w:p w14:paraId="658A2ACE" w14:textId="77777777" w:rsidR="00286661" w:rsidRPr="004B32B8" w:rsidRDefault="00286661" w:rsidP="00286661">
      <w:pPr>
        <w:numPr>
          <w:ilvl w:val="2"/>
          <w:numId w:val="24"/>
        </w:numPr>
        <w:spacing w:after="160" w:line="360" w:lineRule="auto"/>
        <w:rPr>
          <w:rFonts w:ascii="Calibri Light" w:hAnsi="Calibri Light"/>
          <w:szCs w:val="24"/>
        </w:rPr>
      </w:pPr>
      <w:r w:rsidRPr="004B32B8">
        <w:rPr>
          <w:rFonts w:ascii="Calibri Light" w:hAnsi="Calibri Light"/>
          <w:szCs w:val="24"/>
        </w:rPr>
        <w:t xml:space="preserve"> Allocation of administrator rights is restricted;</w:t>
      </w:r>
    </w:p>
    <w:p w14:paraId="00991308" w14:textId="77777777" w:rsidR="00286661" w:rsidRPr="004B32B8" w:rsidRDefault="00286661" w:rsidP="00286661">
      <w:pPr>
        <w:numPr>
          <w:ilvl w:val="2"/>
          <w:numId w:val="24"/>
        </w:numPr>
        <w:spacing w:after="160" w:line="360" w:lineRule="auto"/>
        <w:rPr>
          <w:rFonts w:ascii="Calibri Light" w:hAnsi="Calibri Light"/>
          <w:szCs w:val="24"/>
        </w:rPr>
      </w:pPr>
      <w:r w:rsidRPr="004B32B8">
        <w:rPr>
          <w:rFonts w:ascii="Calibri Light" w:hAnsi="Calibri Light"/>
          <w:szCs w:val="24"/>
        </w:rPr>
        <w:t>Access rights are regularly reviewed;</w:t>
      </w:r>
    </w:p>
    <w:p w14:paraId="0B7BC67E" w14:textId="7A8891A1" w:rsidR="00286661" w:rsidRPr="004B32B8" w:rsidRDefault="00286661" w:rsidP="00286661">
      <w:pPr>
        <w:numPr>
          <w:ilvl w:val="2"/>
          <w:numId w:val="24"/>
        </w:numPr>
        <w:spacing w:after="160" w:line="360" w:lineRule="auto"/>
        <w:rPr>
          <w:rFonts w:ascii="Calibri Light" w:hAnsi="Calibri Light"/>
          <w:szCs w:val="24"/>
        </w:rPr>
      </w:pPr>
      <w:r w:rsidRPr="004B32B8">
        <w:rPr>
          <w:rFonts w:ascii="Calibri Light" w:hAnsi="Calibri Light"/>
          <w:szCs w:val="24"/>
        </w:rPr>
        <w:lastRenderedPageBreak/>
        <w:t xml:space="preserve">Whether there is any evidence of staff sharing their access rights; </w:t>
      </w:r>
      <w:r w:rsidR="004B32B8" w:rsidRPr="00434C7A">
        <w:rPr>
          <w:rFonts w:ascii="Calibri Light" w:hAnsi="Calibri Light"/>
          <w:szCs w:val="24"/>
        </w:rPr>
        <w:t>staff may go under a disciplinary action.</w:t>
      </w:r>
      <w:r w:rsidR="004B32B8" w:rsidRPr="004B32B8">
        <w:rPr>
          <w:rFonts w:ascii="Calibri Light" w:hAnsi="Calibri Light"/>
          <w:b/>
          <w:szCs w:val="24"/>
        </w:rPr>
        <w:t xml:space="preserve"> </w:t>
      </w:r>
    </w:p>
    <w:p w14:paraId="267A862D" w14:textId="77777777" w:rsidR="00286661" w:rsidRPr="004B32B8" w:rsidRDefault="00286661" w:rsidP="00286661">
      <w:pPr>
        <w:numPr>
          <w:ilvl w:val="2"/>
          <w:numId w:val="24"/>
        </w:numPr>
        <w:spacing w:after="160" w:line="360" w:lineRule="auto"/>
        <w:rPr>
          <w:rFonts w:ascii="Calibri Light" w:hAnsi="Calibri Light"/>
          <w:szCs w:val="24"/>
        </w:rPr>
      </w:pPr>
      <w:r w:rsidRPr="004B32B8">
        <w:rPr>
          <w:rFonts w:ascii="Calibri Light" w:hAnsi="Calibri Light"/>
          <w:szCs w:val="24"/>
        </w:rPr>
        <w:t>Staff are appropriately logging out of the system;</w:t>
      </w:r>
    </w:p>
    <w:p w14:paraId="457A2661" w14:textId="77777777" w:rsidR="00286661" w:rsidRPr="004B32B8" w:rsidRDefault="00286661" w:rsidP="00286661">
      <w:pPr>
        <w:numPr>
          <w:ilvl w:val="2"/>
          <w:numId w:val="24"/>
        </w:numPr>
        <w:spacing w:after="160" w:line="360" w:lineRule="auto"/>
        <w:rPr>
          <w:rFonts w:ascii="Calibri Light" w:hAnsi="Calibri Light"/>
          <w:szCs w:val="24"/>
        </w:rPr>
      </w:pPr>
      <w:r w:rsidRPr="004B32B8">
        <w:rPr>
          <w:rFonts w:ascii="Calibri Light" w:hAnsi="Calibri Light"/>
          <w:szCs w:val="24"/>
        </w:rPr>
        <w:t>Our password policy is being followed;</w:t>
      </w:r>
    </w:p>
    <w:p w14:paraId="7A1F3801" w14:textId="77777777" w:rsidR="00286661" w:rsidRPr="004B32B8" w:rsidRDefault="00286661" w:rsidP="00286661">
      <w:pPr>
        <w:numPr>
          <w:ilvl w:val="2"/>
          <w:numId w:val="24"/>
        </w:numPr>
        <w:spacing w:after="160" w:line="360" w:lineRule="auto"/>
        <w:rPr>
          <w:rFonts w:ascii="Calibri Light" w:hAnsi="Calibri Light"/>
          <w:szCs w:val="24"/>
        </w:rPr>
      </w:pPr>
      <w:r w:rsidRPr="004B32B8">
        <w:rPr>
          <w:rFonts w:ascii="Calibri Light" w:hAnsi="Calibri Light"/>
          <w:szCs w:val="24"/>
        </w:rPr>
        <w:t>Staff understand how to report any security breaches.</w:t>
      </w:r>
    </w:p>
    <w:p w14:paraId="1AB481F1" w14:textId="77777777" w:rsidR="00286661" w:rsidRPr="004B32B8" w:rsidRDefault="00286661" w:rsidP="00286661">
      <w:pPr>
        <w:pStyle w:val="Heading2"/>
        <w:numPr>
          <w:ilvl w:val="0"/>
          <w:numId w:val="24"/>
        </w:numPr>
        <w:spacing w:before="40" w:line="360" w:lineRule="auto"/>
        <w:rPr>
          <w:rFonts w:ascii="Calibri Light" w:hAnsi="Calibri Light"/>
          <w:sz w:val="24"/>
          <w:szCs w:val="24"/>
        </w:rPr>
      </w:pPr>
      <w:r w:rsidRPr="004B32B8">
        <w:rPr>
          <w:rFonts w:ascii="Calibri Light" w:hAnsi="Calibri Light"/>
          <w:sz w:val="24"/>
          <w:szCs w:val="24"/>
        </w:rPr>
        <w:t>Data Security Audit Procedures</w:t>
      </w:r>
    </w:p>
    <w:p w14:paraId="19E9AC88" w14:textId="49815003"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t>Confidentiality audits will focus on controls within electronic records management systems and paper record systems; the purpose being to discover whether confidentiality has been breached, or put at risk through deliberate misuse of systems, or as a result of insufficient controls. Audits of security and access arrangements within eac</w:t>
      </w:r>
      <w:r w:rsidR="004B32B8" w:rsidRPr="004B32B8">
        <w:rPr>
          <w:rFonts w:ascii="Calibri Light" w:hAnsi="Calibri Light"/>
          <w:szCs w:val="24"/>
        </w:rPr>
        <w:t xml:space="preserve">h area are to be conducted on an annual </w:t>
      </w:r>
      <w:r w:rsidRPr="004B32B8">
        <w:rPr>
          <w:rFonts w:ascii="Calibri Light" w:hAnsi="Calibri Light"/>
          <w:szCs w:val="24"/>
        </w:rPr>
        <w:t xml:space="preserve">rolling programme. </w:t>
      </w:r>
    </w:p>
    <w:p w14:paraId="348C96CD" w14:textId="77777777"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t>Audits will be carried out as required by some or all of these methods:</w:t>
      </w:r>
    </w:p>
    <w:p w14:paraId="1082158F" w14:textId="77777777"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Unannounced spot checks to random work areas;</w:t>
      </w:r>
    </w:p>
    <w:p w14:paraId="6981D5AE" w14:textId="3388872A"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A series of interviews with management and staff, where a department or area of the organisation have been identified for a confidentiality audit. These audits will be carried out by</w:t>
      </w:r>
      <w:r w:rsidR="004B32B8" w:rsidRPr="004B32B8">
        <w:rPr>
          <w:rFonts w:ascii="Calibri Light" w:hAnsi="Calibri Light"/>
          <w:szCs w:val="24"/>
        </w:rPr>
        <w:t xml:space="preserve"> Practice manager or Assistant practice manager. </w:t>
      </w:r>
    </w:p>
    <w:p w14:paraId="34EF6009" w14:textId="00E7657A"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 xml:space="preserve">Based on electronic reports. </w:t>
      </w:r>
    </w:p>
    <w:p w14:paraId="5E43FB5B" w14:textId="482C9964"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 xml:space="preserve">Based on electronic reports from care planning software or auditing of care plans. </w:t>
      </w:r>
    </w:p>
    <w:p w14:paraId="710EB3D6" w14:textId="72056146"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t xml:space="preserve">The following checks will be made during data security audits: </w:t>
      </w:r>
    </w:p>
    <w:p w14:paraId="5C161A84" w14:textId="77777777"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The Information Asset Register has been reviewed, updated and signed off;</w:t>
      </w:r>
    </w:p>
    <w:p w14:paraId="57042ADE" w14:textId="77777777"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The Record of Processing Activities has been reviewed, updated and signed off;</w:t>
      </w:r>
    </w:p>
    <w:p w14:paraId="04D9B505" w14:textId="77777777"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 xml:space="preserve">Access of confidential information by unauthorised persons; </w:t>
      </w:r>
    </w:p>
    <w:p w14:paraId="2F024215" w14:textId="77777777"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 xml:space="preserve">Previous confidentiality incidents and actions, including disciplinary, taken; </w:t>
      </w:r>
    </w:p>
    <w:p w14:paraId="04ADDB20" w14:textId="77777777"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 xml:space="preserve">Staff awareness of policies and guidelines concerning confidentiality and understanding of their responsibilities with regard to confidentiality; </w:t>
      </w:r>
    </w:p>
    <w:p w14:paraId="1CBC16A5" w14:textId="77777777"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lastRenderedPageBreak/>
        <w:t>Appropriate communications with service users;</w:t>
      </w:r>
    </w:p>
    <w:p w14:paraId="76BD7E5F" w14:textId="77777777"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 xml:space="preserve">Appropriate recording and/or use of consent forms; </w:t>
      </w:r>
    </w:p>
    <w:p w14:paraId="5EA5F8D2" w14:textId="77777777"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 xml:space="preserve">Appropriate allocation of access rights to confidential information, both hardcopy and digital; </w:t>
      </w:r>
    </w:p>
    <w:p w14:paraId="2047894D" w14:textId="77777777"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 xml:space="preserve">Appropriate staff access to physical areas; </w:t>
      </w:r>
    </w:p>
    <w:p w14:paraId="736B0FDC" w14:textId="77777777"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 xml:space="preserve">Storage of and access to filed hardcopy service user notes and information; </w:t>
      </w:r>
    </w:p>
    <w:p w14:paraId="6D4C504C" w14:textId="4E0047D2"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Correct process used to securely transfer personal information by post, fax</w:t>
      </w:r>
      <w:r w:rsidR="004B32B8" w:rsidRPr="004B32B8">
        <w:rPr>
          <w:rFonts w:ascii="Calibri Light" w:hAnsi="Calibri Light"/>
          <w:szCs w:val="24"/>
        </w:rPr>
        <w:t xml:space="preserve"> or email</w:t>
      </w:r>
    </w:p>
    <w:p w14:paraId="23B16AAC" w14:textId="7A4183A7"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Appropriate use and security of desk</w:t>
      </w:r>
      <w:r w:rsidR="00EB6052" w:rsidRPr="004B32B8">
        <w:rPr>
          <w:rFonts w:ascii="Calibri Light" w:hAnsi="Calibri Light"/>
          <w:szCs w:val="24"/>
        </w:rPr>
        <w:t>top computers</w:t>
      </w:r>
      <w:r w:rsidRPr="004B32B8">
        <w:rPr>
          <w:rFonts w:ascii="Calibri Light" w:hAnsi="Calibri Light"/>
          <w:szCs w:val="24"/>
        </w:rPr>
        <w:t xml:space="preserve"> and mobile devices in open areas; </w:t>
      </w:r>
    </w:p>
    <w:p w14:paraId="68561416" w14:textId="77777777"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 xml:space="preserve">Security applied to PCs, laptops and mobile electronic devices; </w:t>
      </w:r>
    </w:p>
    <w:p w14:paraId="494D7465" w14:textId="77777777"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 xml:space="preserve">Evidence of secure waste disposal; </w:t>
      </w:r>
    </w:p>
    <w:p w14:paraId="3B772FD1" w14:textId="7572C48F"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 xml:space="preserve">Appropriate transfer and </w:t>
      </w:r>
      <w:r w:rsidR="00EB6052" w:rsidRPr="004B32B8">
        <w:rPr>
          <w:rFonts w:ascii="Calibri Light" w:hAnsi="Calibri Light"/>
          <w:szCs w:val="24"/>
        </w:rPr>
        <w:t xml:space="preserve">data </w:t>
      </w:r>
      <w:r w:rsidRPr="004B32B8">
        <w:rPr>
          <w:rFonts w:ascii="Calibri Light" w:hAnsi="Calibri Light"/>
          <w:szCs w:val="24"/>
        </w:rPr>
        <w:t xml:space="preserve">sharing arrangements are in place; </w:t>
      </w:r>
    </w:p>
    <w:p w14:paraId="667238B2" w14:textId="7DC385B9"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Security and arrangements for recording access to manu</w:t>
      </w:r>
      <w:r w:rsidR="004B32B8" w:rsidRPr="004B32B8">
        <w:rPr>
          <w:rFonts w:ascii="Calibri Light" w:hAnsi="Calibri Light"/>
          <w:szCs w:val="24"/>
        </w:rPr>
        <w:t>al files both live and archive</w:t>
      </w:r>
    </w:p>
    <w:p w14:paraId="46F5E15A" w14:textId="50EDF9ED"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 xml:space="preserve">Appropriate staff use of computer systems, </w:t>
      </w:r>
      <w:r w:rsidRPr="004B32B8">
        <w:rPr>
          <w:rFonts w:ascii="Calibri Light" w:hAnsi="Calibri Light"/>
          <w:i/>
          <w:szCs w:val="24"/>
        </w:rPr>
        <w:t>e.g.</w:t>
      </w:r>
      <w:r w:rsidRPr="004B32B8">
        <w:rPr>
          <w:rFonts w:ascii="Calibri Light" w:hAnsi="Calibri Light"/>
          <w:szCs w:val="24"/>
        </w:rPr>
        <w:t xml:space="preserve"> no excessive personal use, no attempting to download software without authorisation, use of social media, attempted connection of unauthorised devices etc. </w:t>
      </w:r>
    </w:p>
    <w:p w14:paraId="61D3079E" w14:textId="77777777" w:rsidR="00286661" w:rsidRPr="004B32B8" w:rsidRDefault="00286661" w:rsidP="00286661">
      <w:pPr>
        <w:pStyle w:val="Heading2"/>
        <w:numPr>
          <w:ilvl w:val="0"/>
          <w:numId w:val="24"/>
        </w:numPr>
        <w:spacing w:before="40" w:line="360" w:lineRule="auto"/>
        <w:rPr>
          <w:rFonts w:ascii="Calibri Light" w:hAnsi="Calibri Light"/>
          <w:sz w:val="24"/>
          <w:szCs w:val="24"/>
        </w:rPr>
      </w:pPr>
      <w:r w:rsidRPr="004B32B8">
        <w:rPr>
          <w:rFonts w:ascii="Calibri Light" w:hAnsi="Calibri Light"/>
          <w:sz w:val="24"/>
          <w:szCs w:val="24"/>
        </w:rPr>
        <w:t>Data Security Breach Procedures</w:t>
      </w:r>
    </w:p>
    <w:p w14:paraId="77D83500" w14:textId="77777777"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t>In order to mitigate the risks of a security breach we will:</w:t>
      </w:r>
    </w:p>
    <w:p w14:paraId="3C7643D3" w14:textId="77777777"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Follow the Physical Access, Digital Access, Access Monitoring and Data Security Procedures;</w:t>
      </w:r>
    </w:p>
    <w:p w14:paraId="2014D530" w14:textId="77777777"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Ensure our staff are trained to recognise a potential data breach whether it is a confidentiality, integrity or availability breach;</w:t>
      </w:r>
    </w:p>
    <w:p w14:paraId="5A435C9D" w14:textId="77777777"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Ensure our staff understand the procedures to follow and how to escalate a security incident to the correct person in order to determine if a breach has taken place.</w:t>
      </w:r>
    </w:p>
    <w:p w14:paraId="6544EC7E" w14:textId="77777777" w:rsidR="00286661" w:rsidRPr="004B32B8" w:rsidRDefault="00286661" w:rsidP="00286661">
      <w:pPr>
        <w:pStyle w:val="ListParagraph"/>
        <w:numPr>
          <w:ilvl w:val="1"/>
          <w:numId w:val="24"/>
        </w:numPr>
        <w:spacing w:after="160" w:line="360" w:lineRule="auto"/>
        <w:rPr>
          <w:rFonts w:ascii="Calibri Light" w:hAnsi="Calibri Light"/>
          <w:szCs w:val="24"/>
        </w:rPr>
      </w:pPr>
      <w:r w:rsidRPr="004B32B8">
        <w:rPr>
          <w:rFonts w:ascii="Calibri Light" w:hAnsi="Calibri Light"/>
          <w:szCs w:val="24"/>
        </w:rPr>
        <w:t>In the instance that it appears that a data security breach has taken place:</w:t>
      </w:r>
    </w:p>
    <w:p w14:paraId="20318879" w14:textId="77777777"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The staff member who notices the breach, or potential breach, will complete a Data Security Breach Incident Report Form without delay;</w:t>
      </w:r>
    </w:p>
    <w:p w14:paraId="274D569C" w14:textId="72612B3E"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lastRenderedPageBreak/>
        <w:t xml:space="preserve">This form will be completed and handed to the </w:t>
      </w:r>
      <w:r w:rsidR="00260778" w:rsidRPr="004B32B8">
        <w:rPr>
          <w:rFonts w:ascii="Calibri Light" w:hAnsi="Calibri Light"/>
          <w:szCs w:val="24"/>
        </w:rPr>
        <w:t>Data Security and Protection Lead</w:t>
      </w:r>
      <w:r w:rsidRPr="004B32B8">
        <w:rPr>
          <w:rFonts w:ascii="Calibri Light" w:hAnsi="Calibri Light"/>
          <w:szCs w:val="24"/>
        </w:rPr>
        <w:t xml:space="preserve"> or </w:t>
      </w:r>
      <w:r w:rsidR="004B32B8" w:rsidRPr="004B32B8">
        <w:rPr>
          <w:rFonts w:ascii="Calibri Light" w:hAnsi="Calibri Light"/>
          <w:szCs w:val="24"/>
        </w:rPr>
        <w:t>Practice manager</w:t>
      </w:r>
      <w:r w:rsidR="004B32B8" w:rsidRPr="004B32B8">
        <w:rPr>
          <w:rFonts w:ascii="Calibri Light" w:hAnsi="Calibri Light"/>
          <w:b/>
          <w:szCs w:val="24"/>
        </w:rPr>
        <w:t xml:space="preserve"> </w:t>
      </w:r>
      <w:r w:rsidRPr="004B32B8">
        <w:rPr>
          <w:rFonts w:ascii="Calibri Light" w:hAnsi="Calibri Light"/>
          <w:szCs w:val="24"/>
        </w:rPr>
        <w:t>or, if they are not available, to a member of senior management;</w:t>
      </w:r>
    </w:p>
    <w:p w14:paraId="5D00718B" w14:textId="43380855"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 xml:space="preserve">The </w:t>
      </w:r>
      <w:r w:rsidR="00260778" w:rsidRPr="004B32B8">
        <w:rPr>
          <w:rFonts w:ascii="Calibri Light" w:hAnsi="Calibri Light"/>
          <w:szCs w:val="24"/>
        </w:rPr>
        <w:t>Data Security and Protection Lead</w:t>
      </w:r>
      <w:r w:rsidRPr="004B32B8">
        <w:rPr>
          <w:rFonts w:ascii="Calibri Light" w:hAnsi="Calibri Light"/>
          <w:szCs w:val="24"/>
        </w:rPr>
        <w:t xml:space="preserve"> will complete the rest of the Incident Report Form and conduct a thorough investigation into the breach;</w:t>
      </w:r>
    </w:p>
    <w:p w14:paraId="7510B749" w14:textId="77777777"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In the instance that the breach is a personal data breach and it is likely that there will be a risk to the rights and freedoms of an individual then the Information Commissioner’s Office (ICO) will be informed as soon as possible, but at least within 72 hours of our discovery of the breach,  via the DSPT Incident Reporting Tool (</w:t>
      </w:r>
      <w:hyperlink r:id="rId8" w:history="1">
        <w:r w:rsidRPr="004B32B8">
          <w:rPr>
            <w:rStyle w:val="Hyperlink"/>
            <w:rFonts w:ascii="Calibri Light" w:hAnsi="Calibri Light"/>
            <w:szCs w:val="24"/>
          </w:rPr>
          <w:t>www.dsptoolkit.nhs.uk/incidents/</w:t>
        </w:r>
      </w:hyperlink>
      <w:r w:rsidRPr="004B32B8">
        <w:rPr>
          <w:rFonts w:ascii="Calibri Light" w:hAnsi="Calibri Light"/>
          <w:szCs w:val="24"/>
        </w:rPr>
        <w:t xml:space="preserve">); </w:t>
      </w:r>
    </w:p>
    <w:p w14:paraId="1D546AE6" w14:textId="3F66EB13"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As part of our report we will provide the following details:</w:t>
      </w:r>
    </w:p>
    <w:p w14:paraId="4A95CB4D" w14:textId="77777777" w:rsidR="00286661" w:rsidRPr="004B32B8" w:rsidRDefault="00286661" w:rsidP="00286661">
      <w:pPr>
        <w:pStyle w:val="ListParagraph"/>
        <w:numPr>
          <w:ilvl w:val="3"/>
          <w:numId w:val="24"/>
        </w:numPr>
        <w:spacing w:after="160" w:line="360" w:lineRule="auto"/>
        <w:rPr>
          <w:rFonts w:ascii="Calibri Light" w:hAnsi="Calibri Light"/>
          <w:szCs w:val="24"/>
        </w:rPr>
      </w:pPr>
      <w:r w:rsidRPr="004B32B8">
        <w:rPr>
          <w:rFonts w:ascii="Calibri Light" w:hAnsi="Calibri Light"/>
          <w:szCs w:val="24"/>
        </w:rPr>
        <w:t>The nature of the personal data breach (i.e. confidentiality, integrity, availability);</w:t>
      </w:r>
    </w:p>
    <w:p w14:paraId="6FA52954" w14:textId="77777777" w:rsidR="00286661" w:rsidRPr="004B32B8" w:rsidRDefault="00286661" w:rsidP="00286661">
      <w:pPr>
        <w:pStyle w:val="ListParagraph"/>
        <w:numPr>
          <w:ilvl w:val="3"/>
          <w:numId w:val="24"/>
        </w:numPr>
        <w:spacing w:after="160" w:line="360" w:lineRule="auto"/>
        <w:rPr>
          <w:rFonts w:ascii="Calibri Light" w:hAnsi="Calibri Light"/>
          <w:szCs w:val="24"/>
        </w:rPr>
      </w:pPr>
      <w:r w:rsidRPr="004B32B8">
        <w:rPr>
          <w:rFonts w:ascii="Calibri Light" w:hAnsi="Calibri Light"/>
          <w:szCs w:val="24"/>
        </w:rPr>
        <w:t>The approximate number of individuals concerned and the category of individual (e.g. employees, mailing lists, service users);</w:t>
      </w:r>
    </w:p>
    <w:p w14:paraId="2E2F6BFC" w14:textId="77777777" w:rsidR="00286661" w:rsidRPr="004B32B8" w:rsidRDefault="00286661" w:rsidP="00286661">
      <w:pPr>
        <w:pStyle w:val="ListParagraph"/>
        <w:numPr>
          <w:ilvl w:val="3"/>
          <w:numId w:val="24"/>
        </w:numPr>
        <w:spacing w:after="160" w:line="360" w:lineRule="auto"/>
        <w:rPr>
          <w:rFonts w:ascii="Calibri Light" w:hAnsi="Calibri Light"/>
          <w:szCs w:val="24"/>
        </w:rPr>
      </w:pPr>
      <w:r w:rsidRPr="004B32B8">
        <w:rPr>
          <w:rFonts w:ascii="Calibri Light" w:hAnsi="Calibri Light"/>
          <w:szCs w:val="24"/>
        </w:rPr>
        <w:t>The categories and approximate number of personal data records concerned;</w:t>
      </w:r>
    </w:p>
    <w:p w14:paraId="6C4E6EBF" w14:textId="543A4E02" w:rsidR="00286661" w:rsidRPr="004B32B8" w:rsidRDefault="00286661" w:rsidP="00286661">
      <w:pPr>
        <w:pStyle w:val="ListParagraph"/>
        <w:numPr>
          <w:ilvl w:val="3"/>
          <w:numId w:val="24"/>
        </w:numPr>
        <w:spacing w:after="160" w:line="360" w:lineRule="auto"/>
        <w:rPr>
          <w:rFonts w:ascii="Calibri Light" w:hAnsi="Calibri Light"/>
          <w:szCs w:val="24"/>
        </w:rPr>
      </w:pPr>
      <w:r w:rsidRPr="004B32B8">
        <w:rPr>
          <w:rFonts w:ascii="Calibri Light" w:hAnsi="Calibri Light"/>
          <w:szCs w:val="24"/>
        </w:rPr>
        <w:t xml:space="preserve">The name and details of our </w:t>
      </w:r>
      <w:r w:rsidR="00260778" w:rsidRPr="004B32B8">
        <w:rPr>
          <w:rFonts w:ascii="Calibri Light" w:hAnsi="Calibri Light"/>
          <w:szCs w:val="24"/>
        </w:rPr>
        <w:t>Data Security and Protection Lead</w:t>
      </w:r>
      <w:r w:rsidRPr="004B32B8">
        <w:rPr>
          <w:rFonts w:ascii="Calibri Light" w:hAnsi="Calibri Light"/>
          <w:b/>
          <w:szCs w:val="24"/>
        </w:rPr>
        <w:t xml:space="preserve"> </w:t>
      </w:r>
      <w:r w:rsidR="004B32B8" w:rsidRPr="004B32B8">
        <w:rPr>
          <w:rFonts w:ascii="Calibri Light" w:hAnsi="Calibri Light"/>
          <w:szCs w:val="24"/>
        </w:rPr>
        <w:t>Practice manager</w:t>
      </w:r>
      <w:r w:rsidRPr="004B32B8">
        <w:rPr>
          <w:rFonts w:ascii="Calibri Light" w:hAnsi="Calibri Light"/>
          <w:szCs w:val="24"/>
        </w:rPr>
        <w:t>;</w:t>
      </w:r>
    </w:p>
    <w:p w14:paraId="17FB8B2D" w14:textId="77777777" w:rsidR="00286661" w:rsidRPr="004B32B8" w:rsidRDefault="00286661" w:rsidP="00286661">
      <w:pPr>
        <w:pStyle w:val="ListParagraph"/>
        <w:numPr>
          <w:ilvl w:val="3"/>
          <w:numId w:val="24"/>
        </w:numPr>
        <w:spacing w:after="160" w:line="360" w:lineRule="auto"/>
        <w:rPr>
          <w:rFonts w:ascii="Calibri Light" w:hAnsi="Calibri Light"/>
          <w:szCs w:val="24"/>
        </w:rPr>
      </w:pPr>
      <w:r w:rsidRPr="004B32B8">
        <w:rPr>
          <w:rFonts w:ascii="Calibri Light" w:hAnsi="Calibri Light"/>
          <w:szCs w:val="24"/>
        </w:rPr>
        <w:t>The likely consequences of the breach;</w:t>
      </w:r>
    </w:p>
    <w:p w14:paraId="28170581" w14:textId="77777777" w:rsidR="00286661" w:rsidRPr="004B32B8" w:rsidRDefault="00286661" w:rsidP="00286661">
      <w:pPr>
        <w:pStyle w:val="ListParagraph"/>
        <w:numPr>
          <w:ilvl w:val="3"/>
          <w:numId w:val="24"/>
        </w:numPr>
        <w:spacing w:after="160" w:line="360" w:lineRule="auto"/>
        <w:rPr>
          <w:rFonts w:ascii="Calibri Light" w:hAnsi="Calibri Light"/>
          <w:szCs w:val="24"/>
        </w:rPr>
      </w:pPr>
      <w:r w:rsidRPr="004B32B8">
        <w:rPr>
          <w:rFonts w:ascii="Calibri Light" w:hAnsi="Calibri Light"/>
          <w:szCs w:val="24"/>
        </w:rPr>
        <w:t>A description of the measures taken, or which we will take, to mitigate any possible adverse effects.</w:t>
      </w:r>
    </w:p>
    <w:p w14:paraId="163AFCA2" w14:textId="40C62768"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 xml:space="preserve">The </w:t>
      </w:r>
      <w:r w:rsidR="00260778" w:rsidRPr="004B32B8">
        <w:rPr>
          <w:rFonts w:ascii="Calibri Light" w:hAnsi="Calibri Light"/>
          <w:szCs w:val="24"/>
        </w:rPr>
        <w:t>Data Security and Protection Lead</w:t>
      </w:r>
      <w:r w:rsidRPr="004B32B8">
        <w:rPr>
          <w:rFonts w:ascii="Calibri Light" w:hAnsi="Calibri Light"/>
          <w:szCs w:val="24"/>
        </w:rPr>
        <w:t xml:space="preserve"> will inform any individual that their personal data has been breached if it is likely that there is a high risk to their rights and freedoms. We will inform them directly and without any undue delay;</w:t>
      </w:r>
    </w:p>
    <w:p w14:paraId="6FFA935D" w14:textId="77777777"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A data security breach must be marked on the IAR and will prompt an audit of all processes in order to correct any procedure which led to the breach;</w:t>
      </w:r>
    </w:p>
    <w:p w14:paraId="7AF43FAE" w14:textId="77777777" w:rsidR="00286661" w:rsidRPr="004B32B8" w:rsidRDefault="00286661" w:rsidP="00286661">
      <w:pPr>
        <w:pStyle w:val="ListParagraph"/>
        <w:numPr>
          <w:ilvl w:val="2"/>
          <w:numId w:val="24"/>
        </w:numPr>
        <w:spacing w:after="160" w:line="360" w:lineRule="auto"/>
        <w:rPr>
          <w:rFonts w:ascii="Calibri Light" w:hAnsi="Calibri Light"/>
          <w:szCs w:val="24"/>
        </w:rPr>
      </w:pPr>
      <w:r w:rsidRPr="004B32B8">
        <w:rPr>
          <w:rFonts w:ascii="Calibri Light" w:hAnsi="Calibri Light"/>
          <w:szCs w:val="24"/>
        </w:rPr>
        <w:t>A record of all personal data breaches will be kept including those breaches which the ICO were not required to be notified about.</w:t>
      </w:r>
    </w:p>
    <w:p w14:paraId="073C01CE" w14:textId="77777777" w:rsidR="00286661" w:rsidRPr="004B32B8" w:rsidRDefault="00286661" w:rsidP="00286661">
      <w:pPr>
        <w:pStyle w:val="Heading2"/>
        <w:numPr>
          <w:ilvl w:val="0"/>
          <w:numId w:val="24"/>
        </w:numPr>
        <w:spacing w:before="40" w:line="360" w:lineRule="auto"/>
        <w:rPr>
          <w:rFonts w:ascii="Calibri Light" w:hAnsi="Calibri Light"/>
          <w:sz w:val="24"/>
          <w:szCs w:val="24"/>
        </w:rPr>
      </w:pPr>
      <w:r w:rsidRPr="004B32B8">
        <w:rPr>
          <w:rFonts w:ascii="Calibri Light" w:hAnsi="Calibri Light"/>
          <w:sz w:val="24"/>
          <w:szCs w:val="24"/>
        </w:rPr>
        <w:lastRenderedPageBreak/>
        <w:t>Responsibilities</w:t>
      </w:r>
    </w:p>
    <w:p w14:paraId="241DFE99" w14:textId="4DE2B766" w:rsidR="00286661" w:rsidRPr="004B32B8" w:rsidRDefault="004B32B8" w:rsidP="00286661">
      <w:pPr>
        <w:numPr>
          <w:ilvl w:val="1"/>
          <w:numId w:val="24"/>
        </w:numPr>
        <w:spacing w:after="160" w:line="360" w:lineRule="auto"/>
        <w:rPr>
          <w:rFonts w:ascii="Calibri Light" w:hAnsi="Calibri Light"/>
          <w:szCs w:val="24"/>
        </w:rPr>
      </w:pPr>
      <w:proofErr w:type="spellStart"/>
      <w:r w:rsidRPr="004B32B8">
        <w:rPr>
          <w:rFonts w:ascii="Calibri Light" w:hAnsi="Calibri Light"/>
          <w:bCs/>
          <w:szCs w:val="24"/>
        </w:rPr>
        <w:t>Kamaljeet</w:t>
      </w:r>
      <w:proofErr w:type="spellEnd"/>
      <w:r w:rsidRPr="004B32B8">
        <w:rPr>
          <w:rFonts w:ascii="Calibri Light" w:hAnsi="Calibri Light"/>
          <w:bCs/>
          <w:szCs w:val="24"/>
        </w:rPr>
        <w:t xml:space="preserve"> </w:t>
      </w:r>
      <w:proofErr w:type="spellStart"/>
      <w:r w:rsidRPr="004B32B8">
        <w:rPr>
          <w:rFonts w:ascii="Calibri Light" w:hAnsi="Calibri Light"/>
          <w:bCs/>
          <w:szCs w:val="24"/>
        </w:rPr>
        <w:t>Sall</w:t>
      </w:r>
      <w:proofErr w:type="spellEnd"/>
      <w:r w:rsidRPr="004B32B8">
        <w:rPr>
          <w:rFonts w:ascii="Calibri Light" w:hAnsi="Calibri Light"/>
          <w:bCs/>
          <w:szCs w:val="24"/>
        </w:rPr>
        <w:t xml:space="preserve"> </w:t>
      </w:r>
      <w:r w:rsidR="00286661" w:rsidRPr="004B32B8">
        <w:rPr>
          <w:rFonts w:ascii="Calibri Light" w:hAnsi="Calibri Light"/>
          <w:bCs/>
          <w:szCs w:val="24"/>
        </w:rPr>
        <w:t xml:space="preserve"> </w:t>
      </w:r>
      <w:r w:rsidR="00286661" w:rsidRPr="004B32B8">
        <w:rPr>
          <w:rFonts w:ascii="Calibri Light" w:hAnsi="Calibri Light"/>
          <w:szCs w:val="24"/>
        </w:rPr>
        <w:t>is responsible for physical security;</w:t>
      </w:r>
    </w:p>
    <w:p w14:paraId="2DBD075A" w14:textId="7EE5F992" w:rsidR="00286661" w:rsidRPr="004B32B8" w:rsidRDefault="004B32B8" w:rsidP="00286661">
      <w:pPr>
        <w:numPr>
          <w:ilvl w:val="1"/>
          <w:numId w:val="24"/>
        </w:numPr>
        <w:spacing w:after="160" w:line="360" w:lineRule="auto"/>
        <w:rPr>
          <w:rFonts w:ascii="Calibri Light" w:hAnsi="Calibri Light"/>
          <w:szCs w:val="24"/>
        </w:rPr>
      </w:pPr>
      <w:proofErr w:type="spellStart"/>
      <w:r w:rsidRPr="004B32B8">
        <w:rPr>
          <w:rFonts w:ascii="Calibri Light" w:hAnsi="Calibri Light"/>
          <w:bCs/>
          <w:szCs w:val="24"/>
        </w:rPr>
        <w:t>Kamaljeet</w:t>
      </w:r>
      <w:proofErr w:type="spellEnd"/>
      <w:r w:rsidRPr="004B32B8">
        <w:rPr>
          <w:rFonts w:ascii="Calibri Light" w:hAnsi="Calibri Light"/>
          <w:bCs/>
          <w:szCs w:val="24"/>
        </w:rPr>
        <w:t xml:space="preserve"> </w:t>
      </w:r>
      <w:proofErr w:type="spellStart"/>
      <w:r w:rsidRPr="004B32B8">
        <w:rPr>
          <w:rFonts w:ascii="Calibri Light" w:hAnsi="Calibri Light"/>
          <w:bCs/>
          <w:szCs w:val="24"/>
        </w:rPr>
        <w:t>Sall</w:t>
      </w:r>
      <w:proofErr w:type="spellEnd"/>
      <w:r w:rsidRPr="004B32B8">
        <w:rPr>
          <w:rFonts w:ascii="Calibri Light" w:hAnsi="Calibri Light"/>
          <w:bCs/>
          <w:szCs w:val="24"/>
        </w:rPr>
        <w:t xml:space="preserve">  </w:t>
      </w:r>
      <w:r w:rsidR="00286661" w:rsidRPr="004B32B8">
        <w:rPr>
          <w:rFonts w:ascii="Calibri Light" w:hAnsi="Calibri Light"/>
          <w:szCs w:val="24"/>
        </w:rPr>
        <w:t>is responsible for updating and auditing the IAR and ROPA;</w:t>
      </w:r>
    </w:p>
    <w:p w14:paraId="47CFE462" w14:textId="6D929714" w:rsidR="00286661" w:rsidRPr="004B32B8" w:rsidRDefault="004B32B8" w:rsidP="00286661">
      <w:pPr>
        <w:numPr>
          <w:ilvl w:val="1"/>
          <w:numId w:val="24"/>
        </w:numPr>
        <w:spacing w:after="160" w:line="360" w:lineRule="auto"/>
        <w:rPr>
          <w:rFonts w:ascii="Calibri Light" w:hAnsi="Calibri Light"/>
          <w:szCs w:val="24"/>
        </w:rPr>
      </w:pPr>
      <w:proofErr w:type="spellStart"/>
      <w:r w:rsidRPr="004B32B8">
        <w:rPr>
          <w:rFonts w:ascii="Calibri Light" w:hAnsi="Calibri Light"/>
          <w:bCs/>
          <w:szCs w:val="24"/>
        </w:rPr>
        <w:t>Kamaljeet</w:t>
      </w:r>
      <w:proofErr w:type="spellEnd"/>
      <w:r w:rsidRPr="004B32B8">
        <w:rPr>
          <w:rFonts w:ascii="Calibri Light" w:hAnsi="Calibri Light"/>
          <w:bCs/>
          <w:szCs w:val="24"/>
        </w:rPr>
        <w:t xml:space="preserve"> </w:t>
      </w:r>
      <w:proofErr w:type="spellStart"/>
      <w:r w:rsidRPr="004B32B8">
        <w:rPr>
          <w:rFonts w:ascii="Calibri Light" w:hAnsi="Calibri Light"/>
          <w:bCs/>
          <w:szCs w:val="24"/>
        </w:rPr>
        <w:t>Sall</w:t>
      </w:r>
      <w:proofErr w:type="spellEnd"/>
      <w:r w:rsidRPr="004B32B8">
        <w:rPr>
          <w:rFonts w:ascii="Calibri Light" w:hAnsi="Calibri Light"/>
          <w:bCs/>
          <w:szCs w:val="24"/>
        </w:rPr>
        <w:t xml:space="preserve">  </w:t>
      </w:r>
      <w:r w:rsidR="00286661" w:rsidRPr="004B32B8">
        <w:rPr>
          <w:rFonts w:ascii="Calibri Light" w:hAnsi="Calibri Light"/>
          <w:szCs w:val="24"/>
        </w:rPr>
        <w:t>is responsible for digital access;</w:t>
      </w:r>
    </w:p>
    <w:p w14:paraId="0D795188" w14:textId="3AA0FC3D" w:rsidR="00286661" w:rsidRPr="004B32B8" w:rsidRDefault="004B32B8" w:rsidP="00286661">
      <w:pPr>
        <w:numPr>
          <w:ilvl w:val="1"/>
          <w:numId w:val="24"/>
        </w:numPr>
        <w:spacing w:after="160" w:line="360" w:lineRule="auto"/>
        <w:rPr>
          <w:rFonts w:ascii="Calibri Light" w:hAnsi="Calibri Light"/>
          <w:szCs w:val="24"/>
        </w:rPr>
      </w:pPr>
      <w:proofErr w:type="spellStart"/>
      <w:r w:rsidRPr="004B32B8">
        <w:rPr>
          <w:rFonts w:ascii="Calibri Light" w:hAnsi="Calibri Light"/>
          <w:bCs/>
          <w:szCs w:val="24"/>
        </w:rPr>
        <w:t>Kamaljeet</w:t>
      </w:r>
      <w:proofErr w:type="spellEnd"/>
      <w:r w:rsidRPr="004B32B8">
        <w:rPr>
          <w:rFonts w:ascii="Calibri Light" w:hAnsi="Calibri Light"/>
          <w:bCs/>
          <w:szCs w:val="24"/>
        </w:rPr>
        <w:t xml:space="preserve"> </w:t>
      </w:r>
      <w:proofErr w:type="spellStart"/>
      <w:r w:rsidRPr="004B32B8">
        <w:rPr>
          <w:rFonts w:ascii="Calibri Light" w:hAnsi="Calibri Light"/>
          <w:bCs/>
          <w:szCs w:val="24"/>
        </w:rPr>
        <w:t>Sall</w:t>
      </w:r>
      <w:proofErr w:type="spellEnd"/>
      <w:r w:rsidRPr="004B32B8">
        <w:rPr>
          <w:rFonts w:ascii="Calibri Light" w:hAnsi="Calibri Light"/>
          <w:bCs/>
          <w:szCs w:val="24"/>
        </w:rPr>
        <w:t xml:space="preserve">  </w:t>
      </w:r>
      <w:r w:rsidR="00286661" w:rsidRPr="004B32B8">
        <w:rPr>
          <w:rFonts w:ascii="Calibri Light" w:hAnsi="Calibri Light"/>
          <w:szCs w:val="24"/>
        </w:rPr>
        <w:t>is responsible for managing breaches;</w:t>
      </w:r>
    </w:p>
    <w:p w14:paraId="02397E4A" w14:textId="4E431DF0" w:rsidR="00286661" w:rsidRPr="004B32B8" w:rsidRDefault="004B32B8" w:rsidP="00286661">
      <w:pPr>
        <w:numPr>
          <w:ilvl w:val="1"/>
          <w:numId w:val="24"/>
        </w:numPr>
        <w:spacing w:after="160" w:line="360" w:lineRule="auto"/>
        <w:rPr>
          <w:rFonts w:ascii="Calibri Light" w:hAnsi="Calibri Light"/>
          <w:szCs w:val="24"/>
        </w:rPr>
      </w:pPr>
      <w:proofErr w:type="spellStart"/>
      <w:r w:rsidRPr="004B32B8">
        <w:rPr>
          <w:rFonts w:ascii="Calibri Light" w:hAnsi="Calibri Light"/>
          <w:bCs/>
          <w:szCs w:val="24"/>
        </w:rPr>
        <w:t>Kamaljeet</w:t>
      </w:r>
      <w:proofErr w:type="spellEnd"/>
      <w:r w:rsidRPr="004B32B8">
        <w:rPr>
          <w:rFonts w:ascii="Calibri Light" w:hAnsi="Calibri Light"/>
          <w:bCs/>
          <w:szCs w:val="24"/>
        </w:rPr>
        <w:t xml:space="preserve"> </w:t>
      </w:r>
      <w:proofErr w:type="spellStart"/>
      <w:r w:rsidRPr="004B32B8">
        <w:rPr>
          <w:rFonts w:ascii="Calibri Light" w:hAnsi="Calibri Light"/>
          <w:bCs/>
          <w:szCs w:val="24"/>
        </w:rPr>
        <w:t>Sall</w:t>
      </w:r>
      <w:proofErr w:type="spellEnd"/>
      <w:r w:rsidR="00286661" w:rsidRPr="004B32B8">
        <w:rPr>
          <w:rFonts w:ascii="Calibri Light" w:hAnsi="Calibri Light"/>
          <w:szCs w:val="24"/>
        </w:rPr>
        <w:t xml:space="preserve"> is responsible for data security audits.</w:t>
      </w:r>
    </w:p>
    <w:p w14:paraId="2E498692" w14:textId="14082AE4" w:rsidR="00286661" w:rsidRPr="004B32B8" w:rsidRDefault="00286661" w:rsidP="004073EC">
      <w:pPr>
        <w:pStyle w:val="Heading2"/>
        <w:numPr>
          <w:ilvl w:val="0"/>
          <w:numId w:val="24"/>
        </w:numPr>
        <w:spacing w:before="40" w:line="360" w:lineRule="auto"/>
        <w:rPr>
          <w:rFonts w:ascii="Calibri Light" w:hAnsi="Calibri Light"/>
          <w:sz w:val="24"/>
          <w:szCs w:val="24"/>
        </w:rPr>
      </w:pPr>
      <w:r w:rsidRPr="004B32B8">
        <w:rPr>
          <w:rFonts w:ascii="Calibri Light" w:hAnsi="Calibri Light"/>
          <w:sz w:val="24"/>
          <w:szCs w:val="24"/>
        </w:rPr>
        <w:t>Approval</w:t>
      </w:r>
    </w:p>
    <w:p w14:paraId="55BC6249" w14:textId="77777777" w:rsidR="00286661" w:rsidRPr="004B32B8" w:rsidRDefault="00286661" w:rsidP="00286661">
      <w:pPr>
        <w:numPr>
          <w:ilvl w:val="1"/>
          <w:numId w:val="24"/>
        </w:numPr>
        <w:spacing w:after="160" w:line="360" w:lineRule="auto"/>
        <w:rPr>
          <w:rFonts w:ascii="Calibri Light" w:hAnsi="Calibri Light"/>
          <w:szCs w:val="24"/>
        </w:rPr>
      </w:pPr>
      <w:r w:rsidRPr="004B32B8">
        <w:rPr>
          <w:rFonts w:ascii="Calibri Light" w:hAnsi="Calibri Light"/>
          <w:szCs w:val="24"/>
        </w:rPr>
        <w:t xml:space="preserve">This policy has been approved by the undersigned and will be reviewed at least annually. </w:t>
      </w:r>
    </w:p>
    <w:tbl>
      <w:tblPr>
        <w:tblStyle w:val="TableGrid"/>
        <w:tblpPr w:leftFromText="180" w:rightFromText="180" w:vertAnchor="text" w:horzAnchor="margin" w:tblpXSpec="center" w:tblpY="29"/>
        <w:tblW w:w="0" w:type="auto"/>
        <w:tblLook w:val="04A0" w:firstRow="1" w:lastRow="0" w:firstColumn="1" w:lastColumn="0" w:noHBand="0" w:noVBand="1"/>
      </w:tblPr>
      <w:tblGrid>
        <w:gridCol w:w="2376"/>
        <w:gridCol w:w="5786"/>
      </w:tblGrid>
      <w:tr w:rsidR="00286661" w:rsidRPr="004B32B8" w14:paraId="10027E28" w14:textId="77777777" w:rsidTr="00637158">
        <w:tc>
          <w:tcPr>
            <w:tcW w:w="2376" w:type="dxa"/>
          </w:tcPr>
          <w:p w14:paraId="37135CCB" w14:textId="77777777" w:rsidR="00286661" w:rsidRPr="004B32B8" w:rsidRDefault="00286661" w:rsidP="00637158">
            <w:pPr>
              <w:rPr>
                <w:rFonts w:ascii="Calibri Light" w:hAnsi="Calibri Light"/>
              </w:rPr>
            </w:pPr>
            <w:r w:rsidRPr="004B32B8">
              <w:rPr>
                <w:rFonts w:ascii="Calibri Light" w:hAnsi="Calibri Light"/>
              </w:rPr>
              <w:t>Name</w:t>
            </w:r>
          </w:p>
        </w:tc>
        <w:tc>
          <w:tcPr>
            <w:tcW w:w="5786" w:type="dxa"/>
          </w:tcPr>
          <w:p w14:paraId="7CDB9C27" w14:textId="354424A7" w:rsidR="00286661" w:rsidRPr="004B32B8" w:rsidRDefault="004B32B8" w:rsidP="00637158">
            <w:pPr>
              <w:rPr>
                <w:rFonts w:ascii="Calibri Light" w:hAnsi="Calibri Light"/>
              </w:rPr>
            </w:pPr>
            <w:proofErr w:type="spellStart"/>
            <w:r w:rsidRPr="004B32B8">
              <w:rPr>
                <w:rFonts w:ascii="Calibri Light" w:hAnsi="Calibri Light"/>
                <w:bCs/>
              </w:rPr>
              <w:t>Kamaljeet</w:t>
            </w:r>
            <w:proofErr w:type="spellEnd"/>
            <w:r w:rsidRPr="004B32B8">
              <w:rPr>
                <w:rFonts w:ascii="Calibri Light" w:hAnsi="Calibri Light"/>
                <w:bCs/>
              </w:rPr>
              <w:t xml:space="preserve"> </w:t>
            </w:r>
            <w:proofErr w:type="spellStart"/>
            <w:r w:rsidRPr="004B32B8">
              <w:rPr>
                <w:rFonts w:ascii="Calibri Light" w:hAnsi="Calibri Light"/>
                <w:bCs/>
              </w:rPr>
              <w:t>Sall</w:t>
            </w:r>
            <w:proofErr w:type="spellEnd"/>
            <w:r w:rsidRPr="004B32B8">
              <w:rPr>
                <w:rFonts w:ascii="Calibri Light" w:hAnsi="Calibri Light"/>
                <w:bCs/>
              </w:rPr>
              <w:t xml:space="preserve">  </w:t>
            </w:r>
          </w:p>
        </w:tc>
      </w:tr>
      <w:tr w:rsidR="00286661" w:rsidRPr="004B32B8" w14:paraId="1A3308A1" w14:textId="77777777" w:rsidTr="00637158">
        <w:tc>
          <w:tcPr>
            <w:tcW w:w="2376" w:type="dxa"/>
          </w:tcPr>
          <w:p w14:paraId="4AAE6CEB" w14:textId="77777777" w:rsidR="00286661" w:rsidRPr="004B32B8" w:rsidRDefault="00286661" w:rsidP="00637158">
            <w:pPr>
              <w:rPr>
                <w:rFonts w:ascii="Calibri Light" w:hAnsi="Calibri Light"/>
              </w:rPr>
            </w:pPr>
            <w:r w:rsidRPr="004B32B8">
              <w:rPr>
                <w:rFonts w:ascii="Calibri Light" w:hAnsi="Calibri Light"/>
              </w:rPr>
              <w:t>Signature</w:t>
            </w:r>
          </w:p>
        </w:tc>
        <w:tc>
          <w:tcPr>
            <w:tcW w:w="5786" w:type="dxa"/>
          </w:tcPr>
          <w:p w14:paraId="1E2B78BA" w14:textId="77777777" w:rsidR="00286661" w:rsidRPr="004B32B8" w:rsidRDefault="00286661" w:rsidP="00637158">
            <w:pPr>
              <w:rPr>
                <w:rFonts w:ascii="Calibri Light" w:hAnsi="Calibri Light"/>
              </w:rPr>
            </w:pPr>
          </w:p>
          <w:p w14:paraId="2095498A" w14:textId="25D3BDF1" w:rsidR="004B32B8" w:rsidRPr="00434C7A" w:rsidRDefault="00434C7A" w:rsidP="00637158">
            <w:pPr>
              <w:rPr>
                <w:rFonts w:ascii="Calibri Light" w:hAnsi="Calibri Light"/>
                <w:i/>
              </w:rPr>
            </w:pPr>
            <w:r w:rsidRPr="00434C7A">
              <w:rPr>
                <w:rFonts w:ascii="Calibri Light" w:hAnsi="Calibri Light"/>
                <w:i/>
              </w:rPr>
              <w:t xml:space="preserve">K </w:t>
            </w:r>
            <w:proofErr w:type="spellStart"/>
            <w:r w:rsidRPr="00434C7A">
              <w:rPr>
                <w:rFonts w:ascii="Calibri Light" w:hAnsi="Calibri Light"/>
                <w:i/>
              </w:rPr>
              <w:t>Sall</w:t>
            </w:r>
            <w:proofErr w:type="spellEnd"/>
          </w:p>
        </w:tc>
      </w:tr>
      <w:tr w:rsidR="00286661" w:rsidRPr="004B32B8" w14:paraId="593FD8B4" w14:textId="77777777" w:rsidTr="00637158">
        <w:tc>
          <w:tcPr>
            <w:tcW w:w="2376" w:type="dxa"/>
          </w:tcPr>
          <w:p w14:paraId="32DEC5A2" w14:textId="77777777" w:rsidR="00286661" w:rsidRPr="004B32B8" w:rsidRDefault="00286661" w:rsidP="00637158">
            <w:pPr>
              <w:rPr>
                <w:rFonts w:ascii="Calibri Light" w:hAnsi="Calibri Light"/>
              </w:rPr>
            </w:pPr>
            <w:r w:rsidRPr="004B32B8">
              <w:rPr>
                <w:rFonts w:ascii="Calibri Light" w:hAnsi="Calibri Light"/>
              </w:rPr>
              <w:t>Approval Date</w:t>
            </w:r>
          </w:p>
        </w:tc>
        <w:tc>
          <w:tcPr>
            <w:tcW w:w="5786" w:type="dxa"/>
          </w:tcPr>
          <w:p w14:paraId="275093B9" w14:textId="3018A762" w:rsidR="00286661" w:rsidRPr="004B32B8" w:rsidRDefault="004B32B8" w:rsidP="00637158">
            <w:pPr>
              <w:rPr>
                <w:rFonts w:ascii="Calibri Light" w:hAnsi="Calibri Light"/>
              </w:rPr>
            </w:pPr>
            <w:r w:rsidRPr="004B32B8">
              <w:rPr>
                <w:rFonts w:ascii="Calibri Light" w:hAnsi="Calibri Light"/>
              </w:rPr>
              <w:t>12/6/2023</w:t>
            </w:r>
          </w:p>
        </w:tc>
      </w:tr>
      <w:tr w:rsidR="00286661" w:rsidRPr="004B32B8" w14:paraId="7C03139A" w14:textId="77777777" w:rsidTr="00637158">
        <w:tc>
          <w:tcPr>
            <w:tcW w:w="2376" w:type="dxa"/>
          </w:tcPr>
          <w:p w14:paraId="01694996" w14:textId="77777777" w:rsidR="00286661" w:rsidRPr="004B32B8" w:rsidRDefault="00286661" w:rsidP="00637158">
            <w:pPr>
              <w:rPr>
                <w:rFonts w:ascii="Calibri Light" w:hAnsi="Calibri Light"/>
              </w:rPr>
            </w:pPr>
            <w:r w:rsidRPr="004B32B8">
              <w:rPr>
                <w:rFonts w:ascii="Calibri Light" w:hAnsi="Calibri Light"/>
              </w:rPr>
              <w:t>Review Date</w:t>
            </w:r>
          </w:p>
        </w:tc>
        <w:tc>
          <w:tcPr>
            <w:tcW w:w="5786" w:type="dxa"/>
          </w:tcPr>
          <w:p w14:paraId="3F38AAF3" w14:textId="6BEF5CFC" w:rsidR="00286661" w:rsidRPr="004B32B8" w:rsidRDefault="004B32B8" w:rsidP="00637158">
            <w:pPr>
              <w:rPr>
                <w:rFonts w:ascii="Calibri Light" w:hAnsi="Calibri Light"/>
              </w:rPr>
            </w:pPr>
            <w:r w:rsidRPr="004B32B8">
              <w:rPr>
                <w:rFonts w:ascii="Calibri Light" w:hAnsi="Calibri Light"/>
              </w:rPr>
              <w:t>12/6/2024</w:t>
            </w:r>
          </w:p>
        </w:tc>
      </w:tr>
    </w:tbl>
    <w:p w14:paraId="1D13F2C2" w14:textId="30941DE1" w:rsidR="00286661" w:rsidRPr="004B32B8" w:rsidRDefault="00286661" w:rsidP="004073EC">
      <w:pPr>
        <w:keepNext/>
        <w:keepLines/>
        <w:spacing w:before="40" w:after="0" w:line="259" w:lineRule="auto"/>
        <w:outlineLvl w:val="1"/>
        <w:rPr>
          <w:rFonts w:ascii="Calibri Light" w:eastAsia="Times New Roman" w:hAnsi="Calibri Light" w:cs="Times New Roman"/>
          <w:color w:val="2F5496"/>
          <w:szCs w:val="24"/>
        </w:rPr>
      </w:pPr>
    </w:p>
    <w:sectPr w:rsidR="00286661" w:rsidRPr="004B32B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71D35" w14:textId="77777777" w:rsidR="00E67DC5" w:rsidRDefault="00E67DC5" w:rsidP="001C6919">
      <w:pPr>
        <w:spacing w:after="0" w:line="240" w:lineRule="auto"/>
      </w:pPr>
      <w:r>
        <w:separator/>
      </w:r>
    </w:p>
  </w:endnote>
  <w:endnote w:type="continuationSeparator" w:id="0">
    <w:p w14:paraId="4028C2D3" w14:textId="77777777" w:rsidR="00E67DC5" w:rsidRDefault="00E67DC5" w:rsidP="001C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3166C" w14:textId="77777777" w:rsidR="001C6919" w:rsidRPr="001C6919" w:rsidRDefault="00E67DC5" w:rsidP="003370F1">
    <w:pPr>
      <w:pStyle w:val="Footer"/>
      <w:jc w:val="center"/>
      <w:rPr>
        <w:rFonts w:ascii="Muli" w:hAnsi="Muli"/>
      </w:rPr>
    </w:pPr>
    <w:hyperlink r:id="rId1" w:history="1">
      <w:r w:rsidR="009C4366" w:rsidRPr="00A96240">
        <w:rPr>
          <w:rStyle w:val="Hyperlink"/>
          <w:rFonts w:ascii="Muli" w:hAnsi="Muli"/>
        </w:rPr>
        <w:t>www.di</w:t>
      </w:r>
      <w:r w:rsidR="009C4366" w:rsidRPr="00A96240">
        <w:rPr>
          <w:rStyle w:val="Hyperlink"/>
          <w:rFonts w:ascii="Muli" w:hAnsi="Muli"/>
          <w:noProof/>
          <w:lang w:eastAsia="en-GB"/>
        </w:rPr>
        <mc:AlternateContent>
          <mc:Choice Requires="wps">
            <w:drawing>
              <wp:anchor distT="0" distB="0" distL="114300" distR="114300" simplePos="0" relativeHeight="251665408" behindDoc="0" locked="0" layoutInCell="0" allowOverlap="1" wp14:anchorId="59A31671" wp14:editId="59A31672">
                <wp:simplePos x="0" y="0"/>
                <wp:positionH relativeFrom="page">
                  <wp:align>center</wp:align>
                </wp:positionH>
                <wp:positionV relativeFrom="page">
                  <wp:align>center</wp:align>
                </wp:positionV>
                <wp:extent cx="7126605" cy="9434195"/>
                <wp:effectExtent l="9525" t="9525" r="7620" b="1460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4C32BCD" id="Rounded Rectangle 2"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" o:allowincell="f" filled="f" fillcolor="black" strokecolor="#292858 [3213]" strokeweight="1pt">
                <w10:wrap anchorx="page" anchory="page"/>
              </v:roundrect>
            </w:pict>
          </mc:Fallback>
        </mc:AlternateContent>
      </w:r>
      <w:r w:rsidR="009C4366" w:rsidRPr="00A96240">
        <w:rPr>
          <w:rStyle w:val="Hyperlink"/>
          <w:rFonts w:ascii="Muli" w:hAnsi="Muli"/>
        </w:rPr>
        <w:t>gitalsocialcare.co.uk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D3ABD" w14:textId="77777777" w:rsidR="00E67DC5" w:rsidRDefault="00E67DC5" w:rsidP="001C6919">
      <w:pPr>
        <w:spacing w:after="0" w:line="240" w:lineRule="auto"/>
      </w:pPr>
      <w:r>
        <w:separator/>
      </w:r>
    </w:p>
  </w:footnote>
  <w:footnote w:type="continuationSeparator" w:id="0">
    <w:p w14:paraId="3B9BEBCA" w14:textId="77777777" w:rsidR="00E67DC5" w:rsidRDefault="00E67DC5" w:rsidP="001C6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3166B" w14:textId="77777777" w:rsidR="001C6919" w:rsidRDefault="001C6919">
    <w:pPr>
      <w:pStyle w:val="Header"/>
    </w:pPr>
    <w:r>
      <w:rPr>
        <w:noProof/>
        <w:lang w:eastAsia="en-GB"/>
      </w:rPr>
      <w:drawing>
        <wp:anchor distT="0" distB="0" distL="114300" distR="114300" simplePos="0" relativeHeight="251662336" behindDoc="1" locked="0" layoutInCell="1" allowOverlap="1" wp14:anchorId="59A3166F" wp14:editId="59A31670">
          <wp:simplePos x="0" y="0"/>
          <wp:positionH relativeFrom="column">
            <wp:posOffset>4369435</wp:posOffset>
          </wp:positionH>
          <wp:positionV relativeFrom="paragraph">
            <wp:posOffset>83820</wp:posOffset>
          </wp:positionV>
          <wp:extent cx="1807845" cy="648335"/>
          <wp:effectExtent l="0" t="0" r="1905" b="0"/>
          <wp:wrapTight wrapText="bothSides">
            <wp:wrapPolygon edited="0">
              <wp:start x="0" y="0"/>
              <wp:lineTo x="0" y="20944"/>
              <wp:lineTo x="21395" y="2094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logo-full-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845" cy="648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2CF"/>
    <w:multiLevelType w:val="multilevel"/>
    <w:tmpl w:val="7DB28816"/>
    <w:lvl w:ilvl="0">
      <w:start w:val="1"/>
      <w:numFmt w:val="decimal"/>
      <w:lvlText w:val="%1."/>
      <w:lvlJc w:val="left"/>
      <w:pPr>
        <w:ind w:left="720" w:hanging="360"/>
      </w:pPr>
    </w:lvl>
    <w:lvl w:ilvl="1">
      <w:start w:val="1"/>
      <w:numFmt w:val="decimal"/>
      <w:lvlText w:val="%1.%2."/>
      <w:lvlJc w:val="left"/>
      <w:pPr>
        <w:ind w:left="107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D43687C"/>
    <w:multiLevelType w:val="hybridMultilevel"/>
    <w:tmpl w:val="5222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079A7"/>
    <w:multiLevelType w:val="hybridMultilevel"/>
    <w:tmpl w:val="AD06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B2EB2"/>
    <w:multiLevelType w:val="hybridMultilevel"/>
    <w:tmpl w:val="3468C0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A7200"/>
    <w:multiLevelType w:val="hybridMultilevel"/>
    <w:tmpl w:val="93D4A95A"/>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86115"/>
    <w:multiLevelType w:val="hybridMultilevel"/>
    <w:tmpl w:val="4A18F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DD6690"/>
    <w:multiLevelType w:val="hybridMultilevel"/>
    <w:tmpl w:val="E20E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E6169"/>
    <w:multiLevelType w:val="hybridMultilevel"/>
    <w:tmpl w:val="E9A03E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9D4975"/>
    <w:multiLevelType w:val="hybridMultilevel"/>
    <w:tmpl w:val="BE82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56500"/>
    <w:multiLevelType w:val="hybridMultilevel"/>
    <w:tmpl w:val="65DAB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2E1551"/>
    <w:multiLevelType w:val="hybridMultilevel"/>
    <w:tmpl w:val="425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247FD"/>
    <w:multiLevelType w:val="hybridMultilevel"/>
    <w:tmpl w:val="B2EEE2D0"/>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B77B14"/>
    <w:multiLevelType w:val="hybridMultilevel"/>
    <w:tmpl w:val="DCF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3620B3"/>
    <w:multiLevelType w:val="hybridMultilevel"/>
    <w:tmpl w:val="5A5C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C27D6"/>
    <w:multiLevelType w:val="hybridMultilevel"/>
    <w:tmpl w:val="06D2FBF0"/>
    <w:lvl w:ilvl="0" w:tplc="B7887B50">
      <w:start w:val="1"/>
      <w:numFmt w:val="bullet"/>
      <w:lvlText w:val=""/>
      <w:lvlJc w:val="left"/>
      <w:pPr>
        <w:ind w:left="720" w:hanging="360"/>
      </w:pPr>
      <w:rPr>
        <w:rFonts w:ascii="Symbol" w:hAnsi="Symbol" w:hint="default"/>
      </w:rPr>
    </w:lvl>
    <w:lvl w:ilvl="1" w:tplc="23D8913C">
      <w:start w:val="1"/>
      <w:numFmt w:val="bullet"/>
      <w:lvlText w:val="o"/>
      <w:lvlJc w:val="left"/>
      <w:pPr>
        <w:ind w:left="1440" w:hanging="360"/>
      </w:pPr>
      <w:rPr>
        <w:rFonts w:ascii="Courier New" w:hAnsi="Courier New" w:hint="default"/>
      </w:rPr>
    </w:lvl>
    <w:lvl w:ilvl="2" w:tplc="3F1C74F2">
      <w:start w:val="1"/>
      <w:numFmt w:val="bullet"/>
      <w:lvlText w:val=""/>
      <w:lvlJc w:val="left"/>
      <w:pPr>
        <w:ind w:left="2160" w:hanging="360"/>
      </w:pPr>
      <w:rPr>
        <w:rFonts w:ascii="Wingdings" w:hAnsi="Wingdings" w:hint="default"/>
      </w:rPr>
    </w:lvl>
    <w:lvl w:ilvl="3" w:tplc="FFA875EE">
      <w:start w:val="1"/>
      <w:numFmt w:val="bullet"/>
      <w:lvlText w:val=""/>
      <w:lvlJc w:val="left"/>
      <w:pPr>
        <w:ind w:left="2880" w:hanging="360"/>
      </w:pPr>
      <w:rPr>
        <w:rFonts w:ascii="Symbol" w:hAnsi="Symbol" w:hint="default"/>
      </w:rPr>
    </w:lvl>
    <w:lvl w:ilvl="4" w:tplc="99D4BE7A">
      <w:start w:val="1"/>
      <w:numFmt w:val="bullet"/>
      <w:lvlText w:val="o"/>
      <w:lvlJc w:val="left"/>
      <w:pPr>
        <w:ind w:left="3600" w:hanging="360"/>
      </w:pPr>
      <w:rPr>
        <w:rFonts w:ascii="Courier New" w:hAnsi="Courier New" w:hint="default"/>
      </w:rPr>
    </w:lvl>
    <w:lvl w:ilvl="5" w:tplc="06F68DCE">
      <w:start w:val="1"/>
      <w:numFmt w:val="bullet"/>
      <w:lvlText w:val=""/>
      <w:lvlJc w:val="left"/>
      <w:pPr>
        <w:ind w:left="4320" w:hanging="360"/>
      </w:pPr>
      <w:rPr>
        <w:rFonts w:ascii="Wingdings" w:hAnsi="Wingdings" w:hint="default"/>
      </w:rPr>
    </w:lvl>
    <w:lvl w:ilvl="6" w:tplc="86B2CB20">
      <w:start w:val="1"/>
      <w:numFmt w:val="bullet"/>
      <w:lvlText w:val=""/>
      <w:lvlJc w:val="left"/>
      <w:pPr>
        <w:ind w:left="5040" w:hanging="360"/>
      </w:pPr>
      <w:rPr>
        <w:rFonts w:ascii="Symbol" w:hAnsi="Symbol" w:hint="default"/>
      </w:rPr>
    </w:lvl>
    <w:lvl w:ilvl="7" w:tplc="1C540B32">
      <w:start w:val="1"/>
      <w:numFmt w:val="bullet"/>
      <w:lvlText w:val="o"/>
      <w:lvlJc w:val="left"/>
      <w:pPr>
        <w:ind w:left="5760" w:hanging="360"/>
      </w:pPr>
      <w:rPr>
        <w:rFonts w:ascii="Courier New" w:hAnsi="Courier New" w:hint="default"/>
      </w:rPr>
    </w:lvl>
    <w:lvl w:ilvl="8" w:tplc="F84AC646">
      <w:start w:val="1"/>
      <w:numFmt w:val="bullet"/>
      <w:lvlText w:val=""/>
      <w:lvlJc w:val="left"/>
      <w:pPr>
        <w:ind w:left="6480" w:hanging="360"/>
      </w:pPr>
      <w:rPr>
        <w:rFonts w:ascii="Wingdings" w:hAnsi="Wingdings" w:hint="default"/>
      </w:rPr>
    </w:lvl>
  </w:abstractNum>
  <w:abstractNum w:abstractNumId="15" w15:restartNumberingAfterBreak="0">
    <w:nsid w:val="57BA43CF"/>
    <w:multiLevelType w:val="hybridMultilevel"/>
    <w:tmpl w:val="95FC4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D303C9"/>
    <w:multiLevelType w:val="hybridMultilevel"/>
    <w:tmpl w:val="D46C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F30AE"/>
    <w:multiLevelType w:val="hybridMultilevel"/>
    <w:tmpl w:val="A4D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B7770"/>
    <w:multiLevelType w:val="hybridMultilevel"/>
    <w:tmpl w:val="A772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3408F6"/>
    <w:multiLevelType w:val="hybridMultilevel"/>
    <w:tmpl w:val="73D2B4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967CFA"/>
    <w:multiLevelType w:val="hybridMultilevel"/>
    <w:tmpl w:val="9E7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30F5E"/>
    <w:multiLevelType w:val="hybridMultilevel"/>
    <w:tmpl w:val="8AF0A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A21626"/>
    <w:multiLevelType w:val="hybridMultilevel"/>
    <w:tmpl w:val="DA78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F31056"/>
    <w:multiLevelType w:val="hybridMultilevel"/>
    <w:tmpl w:val="EABE0692"/>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7"/>
  </w:num>
  <w:num w:numId="5">
    <w:abstractNumId w:val="18"/>
  </w:num>
  <w:num w:numId="6">
    <w:abstractNumId w:val="21"/>
  </w:num>
  <w:num w:numId="7">
    <w:abstractNumId w:val="22"/>
  </w:num>
  <w:num w:numId="8">
    <w:abstractNumId w:val="19"/>
  </w:num>
  <w:num w:numId="9">
    <w:abstractNumId w:val="17"/>
  </w:num>
  <w:num w:numId="10">
    <w:abstractNumId w:val="3"/>
  </w:num>
  <w:num w:numId="11">
    <w:abstractNumId w:val="11"/>
  </w:num>
  <w:num w:numId="12">
    <w:abstractNumId w:val="15"/>
  </w:num>
  <w:num w:numId="13">
    <w:abstractNumId w:val="5"/>
  </w:num>
  <w:num w:numId="14">
    <w:abstractNumId w:val="10"/>
  </w:num>
  <w:num w:numId="15">
    <w:abstractNumId w:val="16"/>
  </w:num>
  <w:num w:numId="16">
    <w:abstractNumId w:val="8"/>
  </w:num>
  <w:num w:numId="17">
    <w:abstractNumId w:val="4"/>
  </w:num>
  <w:num w:numId="18">
    <w:abstractNumId w:val="20"/>
  </w:num>
  <w:num w:numId="19">
    <w:abstractNumId w:val="13"/>
  </w:num>
  <w:num w:numId="20">
    <w:abstractNumId w:val="9"/>
  </w:num>
  <w:num w:numId="21">
    <w:abstractNumId w:val="23"/>
  </w:num>
  <w:num w:numId="22">
    <w:abstractNumId w:val="14"/>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19"/>
    <w:rsid w:val="00042023"/>
    <w:rsid w:val="00164743"/>
    <w:rsid w:val="001C6919"/>
    <w:rsid w:val="00235AF7"/>
    <w:rsid w:val="00260778"/>
    <w:rsid w:val="00286661"/>
    <w:rsid w:val="003370F1"/>
    <w:rsid w:val="00346DFD"/>
    <w:rsid w:val="00361F98"/>
    <w:rsid w:val="00372BE2"/>
    <w:rsid w:val="003D2868"/>
    <w:rsid w:val="00405BE1"/>
    <w:rsid w:val="004073EC"/>
    <w:rsid w:val="00434C7A"/>
    <w:rsid w:val="00497227"/>
    <w:rsid w:val="004A7B80"/>
    <w:rsid w:val="004B32B8"/>
    <w:rsid w:val="004E0086"/>
    <w:rsid w:val="00597B1D"/>
    <w:rsid w:val="00633FE4"/>
    <w:rsid w:val="00645331"/>
    <w:rsid w:val="00647B98"/>
    <w:rsid w:val="00702CC3"/>
    <w:rsid w:val="007106D9"/>
    <w:rsid w:val="007B3836"/>
    <w:rsid w:val="007B4839"/>
    <w:rsid w:val="007D762D"/>
    <w:rsid w:val="0087004C"/>
    <w:rsid w:val="0089233F"/>
    <w:rsid w:val="009C4366"/>
    <w:rsid w:val="009E3F20"/>
    <w:rsid w:val="00A51806"/>
    <w:rsid w:val="00A758C9"/>
    <w:rsid w:val="00B101B1"/>
    <w:rsid w:val="00B246FB"/>
    <w:rsid w:val="00B812F5"/>
    <w:rsid w:val="00BB65B2"/>
    <w:rsid w:val="00BC46BC"/>
    <w:rsid w:val="00C701DA"/>
    <w:rsid w:val="00CC197E"/>
    <w:rsid w:val="00D017A6"/>
    <w:rsid w:val="00E67DC5"/>
    <w:rsid w:val="00EB6052"/>
    <w:rsid w:val="00EB64E0"/>
    <w:rsid w:val="00EE1DD2"/>
    <w:rsid w:val="00EE6AB7"/>
    <w:rsid w:val="00F25E46"/>
    <w:rsid w:val="00F8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31438"/>
  <w15:docId w15:val="{D50E32A0-2458-4DE7-9814-1B21EAF6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E0"/>
    <w:rPr>
      <w:sz w:val="24"/>
    </w:rPr>
  </w:style>
  <w:style w:type="paragraph" w:styleId="Heading1">
    <w:name w:val="heading 1"/>
    <w:basedOn w:val="Normal"/>
    <w:next w:val="Normal"/>
    <w:link w:val="Heading1Char"/>
    <w:uiPriority w:val="9"/>
    <w:qFormat/>
    <w:rsid w:val="00EB64E0"/>
    <w:pPr>
      <w:keepNext/>
      <w:keepLines/>
      <w:spacing w:before="480" w:after="0"/>
      <w:outlineLvl w:val="0"/>
    </w:pPr>
    <w:rPr>
      <w:rFonts w:asciiTheme="majorHAnsi" w:eastAsiaTheme="majorEastAsia" w:hAnsiTheme="majorHAnsi" w:cstheme="majorBidi"/>
      <w:b/>
      <w:bCs/>
      <w:color w:val="3C2466" w:themeColor="accent1" w:themeShade="BF"/>
      <w:sz w:val="28"/>
      <w:szCs w:val="28"/>
    </w:rPr>
  </w:style>
  <w:style w:type="paragraph" w:styleId="Heading2">
    <w:name w:val="heading 2"/>
    <w:basedOn w:val="Normal"/>
    <w:next w:val="Normal"/>
    <w:link w:val="Heading2Char"/>
    <w:uiPriority w:val="9"/>
    <w:unhideWhenUsed/>
    <w:qFormat/>
    <w:rsid w:val="00647B98"/>
    <w:pPr>
      <w:keepNext/>
      <w:keepLines/>
      <w:spacing w:before="200" w:after="0"/>
      <w:outlineLvl w:val="1"/>
    </w:pPr>
    <w:rPr>
      <w:rFonts w:asciiTheme="majorHAnsi" w:eastAsiaTheme="majorEastAsia" w:hAnsiTheme="majorHAnsi" w:cstheme="majorBidi"/>
      <w:b/>
      <w:bCs/>
      <w:color w:val="513089" w:themeColor="accent1"/>
      <w:sz w:val="26"/>
      <w:szCs w:val="26"/>
    </w:rPr>
  </w:style>
  <w:style w:type="paragraph" w:styleId="Heading3">
    <w:name w:val="heading 3"/>
    <w:basedOn w:val="Normal"/>
    <w:next w:val="Normal"/>
    <w:link w:val="Heading3Char"/>
    <w:uiPriority w:val="9"/>
    <w:unhideWhenUsed/>
    <w:qFormat/>
    <w:rsid w:val="00647B98"/>
    <w:pPr>
      <w:keepNext/>
      <w:keepLines/>
      <w:spacing w:before="200" w:after="0"/>
      <w:outlineLvl w:val="2"/>
    </w:pPr>
    <w:rPr>
      <w:rFonts w:asciiTheme="majorHAnsi" w:eastAsiaTheme="majorEastAsia" w:hAnsiTheme="majorHAnsi" w:cstheme="majorBidi"/>
      <w:b/>
      <w:bCs/>
      <w:color w:val="513089"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919"/>
  </w:style>
  <w:style w:type="paragraph" w:styleId="Footer">
    <w:name w:val="footer"/>
    <w:basedOn w:val="Normal"/>
    <w:link w:val="FooterChar"/>
    <w:uiPriority w:val="99"/>
    <w:unhideWhenUsed/>
    <w:qFormat/>
    <w:rsid w:val="001C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19"/>
  </w:style>
  <w:style w:type="paragraph" w:styleId="BalloonText">
    <w:name w:val="Balloon Text"/>
    <w:basedOn w:val="Normal"/>
    <w:link w:val="BalloonTextChar"/>
    <w:uiPriority w:val="99"/>
    <w:semiHidden/>
    <w:unhideWhenUsed/>
    <w:rsid w:val="001C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19"/>
    <w:rPr>
      <w:rFonts w:ascii="Tahoma" w:hAnsi="Tahoma" w:cs="Tahoma"/>
      <w:sz w:val="16"/>
      <w:szCs w:val="16"/>
    </w:rPr>
  </w:style>
  <w:style w:type="paragraph" w:styleId="NoSpacing">
    <w:name w:val="No Spacing"/>
    <w:basedOn w:val="Normal"/>
    <w:uiPriority w:val="1"/>
    <w:qFormat/>
    <w:rsid w:val="001C6919"/>
    <w:pPr>
      <w:spacing w:after="0" w:line="240" w:lineRule="auto"/>
    </w:pPr>
    <w:rPr>
      <w:rFonts w:cs="Times New Roman"/>
      <w:color w:val="292858" w:themeColor="text1"/>
      <w:szCs w:val="20"/>
      <w:lang w:val="en-US" w:eastAsia="ja-JP"/>
    </w:rPr>
  </w:style>
  <w:style w:type="character" w:customStyle="1" w:styleId="Heading1Char">
    <w:name w:val="Heading 1 Char"/>
    <w:basedOn w:val="DefaultParagraphFont"/>
    <w:link w:val="Heading1"/>
    <w:uiPriority w:val="9"/>
    <w:rsid w:val="00EB64E0"/>
    <w:rPr>
      <w:rFonts w:asciiTheme="majorHAnsi" w:eastAsiaTheme="majorEastAsia" w:hAnsiTheme="majorHAnsi" w:cstheme="majorBidi"/>
      <w:b/>
      <w:bCs/>
      <w:color w:val="3C2466" w:themeColor="accent1" w:themeShade="BF"/>
      <w:sz w:val="28"/>
      <w:szCs w:val="28"/>
    </w:rPr>
  </w:style>
  <w:style w:type="character" w:styleId="Hyperlink">
    <w:name w:val="Hyperlink"/>
    <w:basedOn w:val="DefaultParagraphFont"/>
    <w:uiPriority w:val="99"/>
    <w:unhideWhenUsed/>
    <w:rsid w:val="009C4366"/>
    <w:rPr>
      <w:color w:val="E74A3B" w:themeColor="hyperlink"/>
      <w:u w:val="single"/>
    </w:rPr>
  </w:style>
  <w:style w:type="paragraph" w:styleId="ListParagraph">
    <w:name w:val="List Paragraph"/>
    <w:basedOn w:val="Normal"/>
    <w:link w:val="ListParagraphChar"/>
    <w:uiPriority w:val="1"/>
    <w:qFormat/>
    <w:rsid w:val="009C4366"/>
    <w:pPr>
      <w:ind w:left="720"/>
      <w:contextualSpacing/>
    </w:pPr>
  </w:style>
  <w:style w:type="character" w:customStyle="1" w:styleId="Heading2Char">
    <w:name w:val="Heading 2 Char"/>
    <w:basedOn w:val="DefaultParagraphFont"/>
    <w:link w:val="Heading2"/>
    <w:uiPriority w:val="9"/>
    <w:rsid w:val="00647B98"/>
    <w:rPr>
      <w:rFonts w:asciiTheme="majorHAnsi" w:eastAsiaTheme="majorEastAsia" w:hAnsiTheme="majorHAnsi" w:cstheme="majorBidi"/>
      <w:b/>
      <w:bCs/>
      <w:color w:val="513089" w:themeColor="accent1"/>
      <w:sz w:val="26"/>
      <w:szCs w:val="26"/>
    </w:rPr>
  </w:style>
  <w:style w:type="character" w:customStyle="1" w:styleId="Heading3Char">
    <w:name w:val="Heading 3 Char"/>
    <w:basedOn w:val="DefaultParagraphFont"/>
    <w:link w:val="Heading3"/>
    <w:uiPriority w:val="9"/>
    <w:rsid w:val="00647B98"/>
    <w:rPr>
      <w:rFonts w:asciiTheme="majorHAnsi" w:eastAsiaTheme="majorEastAsia" w:hAnsiTheme="majorHAnsi" w:cstheme="majorBidi"/>
      <w:b/>
      <w:bCs/>
      <w:color w:val="513089" w:themeColor="accent1"/>
    </w:rPr>
  </w:style>
  <w:style w:type="character" w:styleId="Strong">
    <w:name w:val="Strong"/>
    <w:basedOn w:val="DefaultParagraphFont"/>
    <w:uiPriority w:val="22"/>
    <w:qFormat/>
    <w:rsid w:val="00647B98"/>
    <w:rPr>
      <w:b/>
      <w:bCs/>
    </w:rPr>
  </w:style>
  <w:style w:type="paragraph" w:styleId="TOC1">
    <w:name w:val="toc 1"/>
    <w:basedOn w:val="Normal"/>
    <w:next w:val="Normal"/>
    <w:autoRedefine/>
    <w:uiPriority w:val="39"/>
    <w:unhideWhenUsed/>
    <w:qFormat/>
    <w:rsid w:val="00B246FB"/>
    <w:pPr>
      <w:pBdr>
        <w:top w:val="single" w:sz="4" w:space="4" w:color="B9B9B9"/>
        <w:bottom w:val="single" w:sz="4" w:space="4" w:color="B9B9B9"/>
      </w:pBdr>
      <w:tabs>
        <w:tab w:val="right" w:pos="9854"/>
      </w:tabs>
      <w:spacing w:after="140" w:line="240" w:lineRule="auto"/>
      <w:textboxTightWrap w:val="allLines"/>
    </w:pPr>
    <w:rPr>
      <w:rFonts w:ascii="Arial" w:eastAsia="Times New Roman" w:hAnsi="Arial" w:cs="Times New Roman"/>
      <w:b/>
      <w:noProof/>
      <w:color w:val="003350"/>
      <w:sz w:val="28"/>
      <w:szCs w:val="24"/>
      <w:lang w:eastAsia="en-GB"/>
    </w:rPr>
  </w:style>
  <w:style w:type="paragraph" w:styleId="Title">
    <w:name w:val="Title"/>
    <w:basedOn w:val="Normal"/>
    <w:link w:val="TitleChar"/>
    <w:uiPriority w:val="10"/>
    <w:qFormat/>
    <w:rsid w:val="00B246FB"/>
    <w:pPr>
      <w:tabs>
        <w:tab w:val="right" w:pos="14580"/>
      </w:tabs>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B246FB"/>
    <w:rPr>
      <w:rFonts w:ascii="Arial" w:eastAsia="Times New Roman" w:hAnsi="Arial" w:cs="Arial"/>
      <w:b/>
      <w:bCs/>
      <w:kern w:val="28"/>
      <w:sz w:val="32"/>
      <w:szCs w:val="32"/>
    </w:rPr>
  </w:style>
  <w:style w:type="character" w:customStyle="1" w:styleId="ListParagraphChar">
    <w:name w:val="List Paragraph Char"/>
    <w:link w:val="ListParagraph"/>
    <w:locked/>
    <w:rsid w:val="00B246FB"/>
    <w:rPr>
      <w:sz w:val="24"/>
    </w:rPr>
  </w:style>
  <w:style w:type="paragraph" w:styleId="FootnoteText">
    <w:name w:val="footnote text"/>
    <w:basedOn w:val="Normal"/>
    <w:link w:val="FootnoteTextChar"/>
    <w:uiPriority w:val="99"/>
    <w:semiHidden/>
    <w:unhideWhenUsed/>
    <w:rsid w:val="00B246FB"/>
    <w:pPr>
      <w:spacing w:after="0" w:line="240" w:lineRule="auto"/>
      <w:textboxTightWrap w:val="allLines"/>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B246F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246FB"/>
    <w:rPr>
      <w:vertAlign w:val="superscript"/>
    </w:rPr>
  </w:style>
  <w:style w:type="table" w:styleId="TableGrid">
    <w:name w:val="Table Grid"/>
    <w:basedOn w:val="TableNormal"/>
    <w:uiPriority w:val="39"/>
    <w:rsid w:val="00B246FB"/>
    <w:pPr>
      <w:spacing w:after="0" w:line="240" w:lineRule="auto"/>
    </w:pPr>
    <w:rPr>
      <w:rFonts w:ascii="Arial" w:eastAsia="HGSMinchoE"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B246FB"/>
    <w:pPr>
      <w:spacing w:after="0" w:line="240" w:lineRule="auto"/>
    </w:pPr>
    <w:tblPr>
      <w:tblStyleRowBandSize w:val="1"/>
      <w:tblStyleColBandSize w:val="1"/>
      <w:tblBorders>
        <w:top w:val="single" w:sz="8" w:space="0" w:color="FB4A3B" w:themeColor="accent4"/>
        <w:left w:val="single" w:sz="8" w:space="0" w:color="FB4A3B" w:themeColor="accent4"/>
        <w:bottom w:val="single" w:sz="8" w:space="0" w:color="FB4A3B" w:themeColor="accent4"/>
        <w:right w:val="single" w:sz="8" w:space="0" w:color="FB4A3B" w:themeColor="accent4"/>
        <w:insideH w:val="single" w:sz="8" w:space="0" w:color="FB4A3B" w:themeColor="accent4"/>
        <w:insideV w:val="single" w:sz="8" w:space="0" w:color="FB4A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18" w:space="0" w:color="FB4A3B" w:themeColor="accent4"/>
          <w:right w:val="single" w:sz="8" w:space="0" w:color="FB4A3B" w:themeColor="accent4"/>
          <w:insideH w:val="nil"/>
          <w:insideV w:val="single" w:sz="8" w:space="0" w:color="FB4A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A3B" w:themeColor="accent4"/>
          <w:left w:val="single" w:sz="8" w:space="0" w:color="FB4A3B" w:themeColor="accent4"/>
          <w:bottom w:val="single" w:sz="8" w:space="0" w:color="FB4A3B" w:themeColor="accent4"/>
          <w:right w:val="single" w:sz="8" w:space="0" w:color="FB4A3B" w:themeColor="accent4"/>
          <w:insideH w:val="nil"/>
          <w:insideV w:val="single" w:sz="8" w:space="0" w:color="FB4A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tcPr>
    </w:tblStylePr>
    <w:tblStylePr w:type="band1Vert">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shd w:val="clear" w:color="auto" w:fill="FED1CE" w:themeFill="accent4" w:themeFillTint="3F"/>
      </w:tcPr>
    </w:tblStylePr>
    <w:tblStylePr w:type="band1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shd w:val="clear" w:color="auto" w:fill="FED1CE" w:themeFill="accent4" w:themeFillTint="3F"/>
      </w:tcPr>
    </w:tblStylePr>
    <w:tblStylePr w:type="band2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tcPr>
    </w:tblStylePr>
  </w:style>
  <w:style w:type="table" w:styleId="LightShading-Accent4">
    <w:name w:val="Light Shading Accent 4"/>
    <w:basedOn w:val="TableNormal"/>
    <w:uiPriority w:val="60"/>
    <w:rsid w:val="00B246FB"/>
    <w:pPr>
      <w:spacing w:after="0" w:line="240" w:lineRule="auto"/>
    </w:pPr>
    <w:rPr>
      <w:color w:val="E31504" w:themeColor="accent4" w:themeShade="BF"/>
    </w:rPr>
    <w:tblPr>
      <w:tblStyleRowBandSize w:val="1"/>
      <w:tblStyleColBandSize w:val="1"/>
      <w:tblBorders>
        <w:top w:val="single" w:sz="8" w:space="0" w:color="FB4A3B" w:themeColor="accent4"/>
        <w:bottom w:val="single" w:sz="8" w:space="0" w:color="FB4A3B" w:themeColor="accent4"/>
      </w:tblBorders>
    </w:tblPr>
    <w:tblStylePr w:type="fir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la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1CE" w:themeFill="accent4" w:themeFillTint="3F"/>
      </w:tcPr>
    </w:tblStylePr>
    <w:tblStylePr w:type="band1Horz">
      <w:tblPr/>
      <w:tcPr>
        <w:tcBorders>
          <w:left w:val="nil"/>
          <w:right w:val="nil"/>
          <w:insideH w:val="nil"/>
          <w:insideV w:val="nil"/>
        </w:tcBorders>
        <w:shd w:val="clear" w:color="auto" w:fill="FED1CE" w:themeFill="accent4" w:themeFillTint="3F"/>
      </w:tcPr>
    </w:tblStylePr>
  </w:style>
  <w:style w:type="table" w:styleId="MediumGrid3-Accent4">
    <w:name w:val="Medium Grid 3 Accent 4"/>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ED1CE" w:themeFill="accent4"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FB4A3B" w:themeFill="accent4"/>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FB4A3B" w:themeFill="accent4"/>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FDA49D" w:themeFill="accent4"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FDA49D" w:themeFill="accent4" w:themeFillTint="7F"/>
      </w:tcPr>
    </w:tblStylePr>
  </w:style>
  <w:style w:type="paragraph" w:styleId="TOC3">
    <w:name w:val="toc 3"/>
    <w:basedOn w:val="Normal"/>
    <w:next w:val="Normal"/>
    <w:autoRedefine/>
    <w:uiPriority w:val="39"/>
    <w:unhideWhenUsed/>
    <w:rsid w:val="00B246FB"/>
    <w:pPr>
      <w:spacing w:after="100" w:line="240" w:lineRule="auto"/>
      <w:ind w:left="480"/>
      <w:textboxTightWrap w:val="allLines"/>
    </w:pPr>
    <w:rPr>
      <w:rFonts w:ascii="Arial" w:eastAsia="Times New Roman" w:hAnsi="Arial" w:cs="Times New Roman"/>
      <w:szCs w:val="24"/>
      <w:lang w:eastAsia="en-GB"/>
    </w:rPr>
  </w:style>
  <w:style w:type="paragraph" w:styleId="Subtitle">
    <w:name w:val="Subtitle"/>
    <w:basedOn w:val="Normal"/>
    <w:next w:val="Normal"/>
    <w:link w:val="SubtitleChar"/>
    <w:uiPriority w:val="11"/>
    <w:qFormat/>
    <w:rsid w:val="00B246FB"/>
    <w:pPr>
      <w:numPr>
        <w:ilvl w:val="1"/>
      </w:numPr>
    </w:pPr>
    <w:rPr>
      <w:rFonts w:asciiTheme="majorHAnsi" w:eastAsiaTheme="majorEastAsia" w:hAnsiTheme="majorHAnsi" w:cstheme="majorBidi"/>
      <w:i/>
      <w:iCs/>
      <w:color w:val="513089" w:themeColor="accent1"/>
      <w:spacing w:val="15"/>
      <w:szCs w:val="24"/>
    </w:rPr>
  </w:style>
  <w:style w:type="character" w:customStyle="1" w:styleId="SubtitleChar">
    <w:name w:val="Subtitle Char"/>
    <w:basedOn w:val="DefaultParagraphFont"/>
    <w:link w:val="Subtitle"/>
    <w:uiPriority w:val="11"/>
    <w:rsid w:val="00B246FB"/>
    <w:rPr>
      <w:rFonts w:asciiTheme="majorHAnsi" w:eastAsiaTheme="majorEastAsia" w:hAnsiTheme="majorHAnsi" w:cstheme="majorBidi"/>
      <w:i/>
      <w:iCs/>
      <w:color w:val="513089" w:themeColor="accent1"/>
      <w:spacing w:val="15"/>
      <w:sz w:val="24"/>
      <w:szCs w:val="24"/>
    </w:rPr>
  </w:style>
  <w:style w:type="table" w:styleId="MediumGrid3-Accent2">
    <w:name w:val="Medium Grid 3 Accent 2"/>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ECC8E5" w:themeFill="accent2"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A1368D" w:themeFill="accent2"/>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A1368D" w:themeFill="accent2"/>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DA90CC" w:themeFill="accent2"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DA90CC" w:themeFill="accent2" w:themeFillTint="7F"/>
      </w:tcPr>
    </w:tblStylePr>
  </w:style>
  <w:style w:type="table" w:styleId="LightShading-Accent2">
    <w:name w:val="Light Shading Accent 2"/>
    <w:basedOn w:val="TableNormal"/>
    <w:uiPriority w:val="60"/>
    <w:rsid w:val="00B246FB"/>
    <w:pPr>
      <w:spacing w:after="0" w:line="240" w:lineRule="auto"/>
    </w:pPr>
    <w:rPr>
      <w:color w:val="782869" w:themeColor="accent2" w:themeShade="BF"/>
    </w:rPr>
    <w:tblPr>
      <w:tblStyleRowBandSize w:val="1"/>
      <w:tblStyleColBandSize w:val="1"/>
      <w:tblBorders>
        <w:top w:val="single" w:sz="8" w:space="0" w:color="A1368D" w:themeColor="accent2"/>
        <w:bottom w:val="single" w:sz="8" w:space="0" w:color="A1368D" w:themeColor="accent2"/>
      </w:tblBorders>
    </w:tblPr>
    <w:tblStylePr w:type="fir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la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8E5" w:themeFill="accent2" w:themeFillTint="3F"/>
      </w:tcPr>
    </w:tblStylePr>
    <w:tblStylePr w:type="band1Horz">
      <w:tblPr/>
      <w:tcPr>
        <w:tcBorders>
          <w:left w:val="nil"/>
          <w:right w:val="nil"/>
          <w:insideH w:val="nil"/>
          <w:insideV w:val="nil"/>
        </w:tcBorders>
        <w:shd w:val="clear" w:color="auto" w:fill="ECC8E5" w:themeFill="accent2" w:themeFillTint="3F"/>
      </w:tcPr>
    </w:tblStylePr>
  </w:style>
  <w:style w:type="table" w:styleId="LightShading-Accent1">
    <w:name w:val="Light Shading Accent 1"/>
    <w:basedOn w:val="TableNormal"/>
    <w:uiPriority w:val="60"/>
    <w:rsid w:val="00B246FB"/>
    <w:pPr>
      <w:spacing w:after="0" w:line="240" w:lineRule="auto"/>
    </w:pPr>
    <w:rPr>
      <w:color w:val="3C2466" w:themeColor="accent1" w:themeShade="BF"/>
    </w:rPr>
    <w:tblPr>
      <w:tblStyleRowBandSize w:val="1"/>
      <w:tblStyleColBandSize w:val="1"/>
      <w:tblBorders>
        <w:top w:val="single" w:sz="8" w:space="0" w:color="513089" w:themeColor="accent1"/>
        <w:bottom w:val="single" w:sz="8" w:space="0" w:color="513089" w:themeColor="accent1"/>
      </w:tblBorders>
    </w:tblPr>
    <w:tblStylePr w:type="fir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la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3EA" w:themeFill="accent1" w:themeFillTint="3F"/>
      </w:tcPr>
    </w:tblStylePr>
    <w:tblStylePr w:type="band1Horz">
      <w:tblPr/>
      <w:tcPr>
        <w:tcBorders>
          <w:left w:val="nil"/>
          <w:right w:val="nil"/>
          <w:insideH w:val="nil"/>
          <w:insideV w:val="nil"/>
        </w:tcBorders>
        <w:shd w:val="clear" w:color="auto" w:fill="D1C3EA" w:themeFill="accent1" w:themeFillTint="3F"/>
      </w:tcPr>
    </w:tblStylePr>
  </w:style>
  <w:style w:type="table" w:styleId="LightGrid-Accent2">
    <w:name w:val="Light Grid Accent 2"/>
    <w:basedOn w:val="TableNormal"/>
    <w:uiPriority w:val="62"/>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insideH w:val="single" w:sz="8" w:space="0" w:color="A1368D" w:themeColor="accent2"/>
        <w:insideV w:val="single" w:sz="8" w:space="0" w:color="A1368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18" w:space="0" w:color="A1368D" w:themeColor="accent2"/>
          <w:right w:val="single" w:sz="8" w:space="0" w:color="A1368D" w:themeColor="accent2"/>
          <w:insideH w:val="nil"/>
          <w:insideV w:val="single" w:sz="8" w:space="0" w:color="A1368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insideH w:val="nil"/>
          <w:insideV w:val="single" w:sz="8" w:space="0" w:color="A1368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shd w:val="clear" w:color="auto" w:fill="ECC8E5" w:themeFill="accent2" w:themeFillTint="3F"/>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shd w:val="clear" w:color="auto" w:fill="ECC8E5" w:themeFill="accent2" w:themeFillTint="3F"/>
      </w:tcPr>
    </w:tblStylePr>
    <w:tblStylePr w:type="band2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tcPr>
    </w:tblStylePr>
  </w:style>
  <w:style w:type="table" w:styleId="MediumGrid3-Accent3">
    <w:name w:val="Medium Grid 3 Accent 3"/>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5D7E6" w:themeFill="accent3"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D75E9E" w:themeFill="accent3"/>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D75E9E" w:themeFill="accent3"/>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EBAECE" w:themeFill="accent3"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EBAECE" w:themeFill="accent3" w:themeFillTint="7F"/>
      </w:tcPr>
    </w:tblStylePr>
  </w:style>
  <w:style w:type="table" w:styleId="LightList-Accent2">
    <w:name w:val="Light List Accent 2"/>
    <w:basedOn w:val="TableNormal"/>
    <w:uiPriority w:val="61"/>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tblBorders>
    </w:tblPr>
    <w:tblStylePr w:type="firstRow">
      <w:pPr>
        <w:spacing w:before="0" w:after="0" w:line="240" w:lineRule="auto"/>
      </w:pPr>
      <w:rPr>
        <w:b/>
        <w:bCs/>
        <w:color w:val="FEFCFF" w:themeColor="background1"/>
      </w:rPr>
      <w:tblPr/>
      <w:tcPr>
        <w:shd w:val="clear" w:color="auto" w:fill="A1368D" w:themeFill="accent2"/>
      </w:tcPr>
    </w:tblStylePr>
    <w:tblStylePr w:type="lastRow">
      <w:pPr>
        <w:spacing w:before="0" w:after="0" w:line="240" w:lineRule="auto"/>
      </w:pPr>
      <w:rPr>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tcBorders>
      </w:tcPr>
    </w:tblStylePr>
    <w:tblStylePr w:type="firstCol">
      <w:rPr>
        <w:b/>
        <w:bCs/>
      </w:rPr>
    </w:tblStylePr>
    <w:tblStylePr w:type="lastCol">
      <w:rPr>
        <w:b/>
        <w:bCs/>
      </w:r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style>
  <w:style w:type="table" w:styleId="LightList-Accent3">
    <w:name w:val="Light List Accent 3"/>
    <w:basedOn w:val="TableNormal"/>
    <w:uiPriority w:val="61"/>
    <w:rsid w:val="00B246FB"/>
    <w:pPr>
      <w:spacing w:after="0" w:line="240" w:lineRule="auto"/>
    </w:pPr>
    <w:tblPr>
      <w:tblStyleRowBandSize w:val="1"/>
      <w:tblStyleColBandSize w:val="1"/>
      <w:tblBorders>
        <w:top w:val="single" w:sz="8" w:space="0" w:color="D75E9E" w:themeColor="accent3"/>
        <w:left w:val="single" w:sz="8" w:space="0" w:color="D75E9E" w:themeColor="accent3"/>
        <w:bottom w:val="single" w:sz="8" w:space="0" w:color="D75E9E" w:themeColor="accent3"/>
        <w:right w:val="single" w:sz="8" w:space="0" w:color="D75E9E" w:themeColor="accent3"/>
      </w:tblBorders>
    </w:tblPr>
    <w:tblStylePr w:type="firstRow">
      <w:pPr>
        <w:spacing w:before="0" w:after="0" w:line="240" w:lineRule="auto"/>
      </w:pPr>
      <w:rPr>
        <w:b/>
        <w:bCs/>
        <w:color w:val="FEFCFF" w:themeColor="background1"/>
      </w:rPr>
      <w:tblPr/>
      <w:tcPr>
        <w:shd w:val="clear" w:color="auto" w:fill="D75E9E" w:themeFill="accent3"/>
      </w:tcPr>
    </w:tblStylePr>
    <w:tblStylePr w:type="lastRow">
      <w:pPr>
        <w:spacing w:before="0" w:after="0" w:line="240" w:lineRule="auto"/>
      </w:pPr>
      <w:rPr>
        <w:b/>
        <w:bCs/>
      </w:rPr>
      <w:tblPr/>
      <w:tcPr>
        <w:tcBorders>
          <w:top w:val="double" w:sz="6" w:space="0" w:color="D75E9E" w:themeColor="accent3"/>
          <w:left w:val="single" w:sz="8" w:space="0" w:color="D75E9E" w:themeColor="accent3"/>
          <w:bottom w:val="single" w:sz="8" w:space="0" w:color="D75E9E" w:themeColor="accent3"/>
          <w:right w:val="single" w:sz="8" w:space="0" w:color="D75E9E" w:themeColor="accent3"/>
        </w:tcBorders>
      </w:tcPr>
    </w:tblStylePr>
    <w:tblStylePr w:type="firstCol">
      <w:rPr>
        <w:b/>
        <w:bCs/>
      </w:rPr>
    </w:tblStylePr>
    <w:tblStylePr w:type="lastCol">
      <w:rPr>
        <w:b/>
        <w:bCs/>
      </w:rPr>
    </w:tblStylePr>
    <w:tblStylePr w:type="band1Vert">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tblStylePr w:type="band1Horz">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style>
  <w:style w:type="table" w:styleId="MediumShading1-Accent2">
    <w:name w:val="Medium Shading 1 Accent 2"/>
    <w:basedOn w:val="TableNormal"/>
    <w:uiPriority w:val="63"/>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tblBorders>
    </w:tblPr>
    <w:tblStylePr w:type="firstRow">
      <w:pPr>
        <w:spacing w:before="0" w:after="0" w:line="240" w:lineRule="auto"/>
      </w:pPr>
      <w:rPr>
        <w:b/>
        <w:bCs/>
        <w:color w:val="FEFCFF" w:themeColor="background1"/>
      </w:rPr>
      <w:tblPr/>
      <w:tcPr>
        <w:tc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shd w:val="clear" w:color="auto" w:fill="A1368D" w:themeFill="accent2"/>
      </w:tcPr>
    </w:tblStylePr>
    <w:tblStylePr w:type="lastRow">
      <w:pPr>
        <w:spacing w:before="0" w:after="0" w:line="240" w:lineRule="auto"/>
      </w:pPr>
      <w:rPr>
        <w:b/>
        <w:bCs/>
      </w:rPr>
      <w:tblPr/>
      <w:tcPr>
        <w:tcBorders>
          <w:top w:val="double" w:sz="6"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C8E5" w:themeFill="accent2" w:themeFillTint="3F"/>
      </w:tcPr>
    </w:tblStylePr>
    <w:tblStylePr w:type="band1Horz">
      <w:tblPr/>
      <w:tcPr>
        <w:tcBorders>
          <w:insideH w:val="nil"/>
          <w:insideV w:val="nil"/>
        </w:tcBorders>
        <w:shd w:val="clear" w:color="auto" w:fill="ECC8E5"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insideV w:val="single" w:sz="8" w:space="0" w:color="C759B2" w:themeColor="accent2" w:themeTint="BF"/>
      </w:tblBorders>
    </w:tblPr>
    <w:tcPr>
      <w:shd w:val="clear" w:color="auto" w:fill="ECC8E5" w:themeFill="accent2" w:themeFillTint="3F"/>
    </w:tcPr>
    <w:tblStylePr w:type="firstRow">
      <w:rPr>
        <w:b/>
        <w:bCs/>
      </w:rPr>
    </w:tblStylePr>
    <w:tblStylePr w:type="lastRow">
      <w:rPr>
        <w:b/>
        <w:bCs/>
      </w:rPr>
      <w:tblPr/>
      <w:tcPr>
        <w:tcBorders>
          <w:top w:val="single" w:sz="18" w:space="0" w:color="C759B2" w:themeColor="accent2" w:themeTint="BF"/>
        </w:tcBorders>
      </w:tcPr>
    </w:tblStylePr>
    <w:tblStylePr w:type="firstCol">
      <w:rPr>
        <w:b/>
        <w:bCs/>
      </w:rPr>
    </w:tblStylePr>
    <w:tblStylePr w:type="lastCol">
      <w:rPr>
        <w:b/>
        <w:bCs/>
      </w:rPr>
    </w:tblStylePr>
    <w:tblStylePr w:type="band1Vert">
      <w:tblPr/>
      <w:tcPr>
        <w:shd w:val="clear" w:color="auto" w:fill="DA90CC" w:themeFill="accent2" w:themeFillTint="7F"/>
      </w:tcPr>
    </w:tblStylePr>
    <w:tblStylePr w:type="band1Horz">
      <w:tblPr/>
      <w:tcPr>
        <w:shd w:val="clear" w:color="auto" w:fill="DA90CC" w:themeFill="accent2" w:themeFillTint="7F"/>
      </w:tcPr>
    </w:tblStylePr>
  </w:style>
  <w:style w:type="table" w:customStyle="1" w:styleId="TableGrid1">
    <w:name w:val="Table Grid1"/>
    <w:basedOn w:val="TableNormal"/>
    <w:next w:val="TableGrid"/>
    <w:uiPriority w:val="39"/>
    <w:rsid w:val="0028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1308">
      <w:bodyDiv w:val="1"/>
      <w:marLeft w:val="0"/>
      <w:marRight w:val="0"/>
      <w:marTop w:val="0"/>
      <w:marBottom w:val="0"/>
      <w:divBdr>
        <w:top w:val="none" w:sz="0" w:space="0" w:color="auto"/>
        <w:left w:val="none" w:sz="0" w:space="0" w:color="auto"/>
        <w:bottom w:val="none" w:sz="0" w:space="0" w:color="auto"/>
        <w:right w:val="none" w:sz="0" w:space="0" w:color="auto"/>
      </w:divBdr>
    </w:div>
    <w:div w:id="10135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toolkit.nhs.uk/inci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igital Social Care">
      <a:dk1>
        <a:srgbClr val="292858"/>
      </a:dk1>
      <a:lt1>
        <a:srgbClr val="FEFCFF"/>
      </a:lt1>
      <a:dk2>
        <a:srgbClr val="282959"/>
      </a:dk2>
      <a:lt2>
        <a:srgbClr val="F1F0EC"/>
      </a:lt2>
      <a:accent1>
        <a:srgbClr val="513089"/>
      </a:accent1>
      <a:accent2>
        <a:srgbClr val="A1368D"/>
      </a:accent2>
      <a:accent3>
        <a:srgbClr val="D75E9E"/>
      </a:accent3>
      <a:accent4>
        <a:srgbClr val="FB4A3B"/>
      </a:accent4>
      <a:accent5>
        <a:srgbClr val="F0C310"/>
      </a:accent5>
      <a:accent6>
        <a:srgbClr val="F0C40E"/>
      </a:accent6>
      <a:hlink>
        <a:srgbClr val="E74A3B"/>
      </a:hlink>
      <a:folHlink>
        <a:srgbClr val="D95F9F"/>
      </a:folHlink>
    </a:clrScheme>
    <a:fontScheme name="Custom 1">
      <a:majorFont>
        <a:latin typeface="Muli"/>
        <a:ea typeface=""/>
        <a:cs typeface=""/>
      </a:majorFont>
      <a:minorFont>
        <a:latin typeface="Mul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0041C-2422-4691-8D62-6460B424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Thorn TPIC</dc:creator>
  <cp:lastModifiedBy>Modesta Vilkauskiene</cp:lastModifiedBy>
  <cp:revision>2</cp:revision>
  <dcterms:created xsi:type="dcterms:W3CDTF">2023-07-05T11:20:00Z</dcterms:created>
  <dcterms:modified xsi:type="dcterms:W3CDTF">2023-07-05T11:20:00Z</dcterms:modified>
</cp:coreProperties>
</file>