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lang w:eastAsia="en-US"/>
        </w:rPr>
      </w:pPr>
    </w:p>
    <w:p w:rsidR="00A75AE8" w:rsidRPr="002649FE" w:rsidRDefault="00135DAD" w:rsidP="00A75AE8">
      <w:pPr>
        <w:tabs>
          <w:tab w:val="left" w:pos="142"/>
        </w:tabs>
        <w:jc w:val="center"/>
        <w:rPr>
          <w:rFonts w:ascii="Arial" w:hAnsi="Arial" w:cs="Arial"/>
          <w:sz w:val="24"/>
          <w:szCs w:val="24"/>
        </w:rPr>
      </w:pPr>
      <w:r>
        <w:rPr>
          <w:rFonts w:ascii="Arial" w:hAnsi="Arial" w:cs="Arial"/>
          <w:sz w:val="24"/>
          <w:szCs w:val="24"/>
        </w:rPr>
        <w:t>North Yorkshire and Humber</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800900">
        <w:rPr>
          <w:rFonts w:ascii="Arial" w:hAnsi="Arial" w:cs="Arial"/>
          <w:sz w:val="24"/>
          <w:szCs w:val="24"/>
        </w:rPr>
        <w:tab/>
        <w:t>CHURCH VIEW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800900">
        <w:rPr>
          <w:rFonts w:ascii="Arial" w:hAnsi="Arial" w:cs="Arial"/>
          <w:sz w:val="24"/>
          <w:szCs w:val="24"/>
        </w:rPr>
        <w:tab/>
        <w:t>B81062</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800900">
        <w:rPr>
          <w:rFonts w:ascii="Arial" w:hAnsi="Arial" w:cs="Arial"/>
          <w:sz w:val="24"/>
          <w:szCs w:val="24"/>
        </w:rPr>
        <w:t xml:space="preserve">C DOYLE </w:t>
      </w:r>
      <w:r w:rsidR="00800900">
        <w:rPr>
          <w:rFonts w:ascii="Arial" w:hAnsi="Arial" w:cs="Arial"/>
          <w:sz w:val="24"/>
          <w:szCs w:val="24"/>
        </w:rPr>
        <w:tab/>
      </w:r>
      <w:r w:rsidR="00800900">
        <w:rPr>
          <w:rFonts w:ascii="Arial" w:hAnsi="Arial" w:cs="Arial"/>
          <w:sz w:val="24"/>
          <w:szCs w:val="24"/>
        </w:rPr>
        <w:tab/>
      </w:r>
      <w:r w:rsidR="00800900">
        <w:rPr>
          <w:rFonts w:ascii="Arial" w:hAnsi="Arial" w:cs="Arial"/>
          <w:sz w:val="24"/>
          <w:szCs w:val="24"/>
        </w:rPr>
        <w:tab/>
      </w:r>
      <w:r w:rsidR="00800900">
        <w:rPr>
          <w:rFonts w:ascii="Arial" w:hAnsi="Arial" w:cs="Arial"/>
          <w:sz w:val="24"/>
          <w:szCs w:val="24"/>
        </w:rPr>
        <w:tab/>
      </w:r>
      <w:r w:rsidR="00800900">
        <w:rPr>
          <w:rFonts w:ascii="Arial" w:hAnsi="Arial" w:cs="Arial"/>
          <w:sz w:val="24"/>
          <w:szCs w:val="24"/>
        </w:rPr>
        <w:tab/>
      </w:r>
      <w:r w:rsidR="00800900">
        <w:rPr>
          <w:rFonts w:ascii="Arial" w:hAnsi="Arial" w:cs="Arial"/>
          <w:sz w:val="24"/>
          <w:szCs w:val="24"/>
        </w:rPr>
        <w:tab/>
      </w:r>
      <w:r w:rsidR="00800900">
        <w:rPr>
          <w:rFonts w:ascii="Arial" w:hAnsi="Arial" w:cs="Arial"/>
          <w:sz w:val="24"/>
          <w:szCs w:val="24"/>
        </w:rPr>
        <w:tab/>
      </w:r>
      <w:r w:rsidRPr="002649FE">
        <w:rPr>
          <w:rFonts w:ascii="Arial" w:hAnsi="Arial" w:cs="Arial"/>
          <w:sz w:val="24"/>
          <w:szCs w:val="24"/>
        </w:rPr>
        <w:t xml:space="preserve">   </w:t>
      </w:r>
      <w:r w:rsidRPr="002649FE">
        <w:rPr>
          <w:rFonts w:ascii="Arial" w:hAnsi="Arial" w:cs="Arial"/>
          <w:sz w:val="24"/>
          <w:szCs w:val="24"/>
        </w:rPr>
        <w:tab/>
        <w:t>Date:</w:t>
      </w:r>
      <w:r w:rsidR="00800900">
        <w:rPr>
          <w:rFonts w:ascii="Arial" w:hAnsi="Arial" w:cs="Arial"/>
          <w:sz w:val="24"/>
          <w:szCs w:val="24"/>
        </w:rPr>
        <w:t xml:space="preserve">  19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E37A25">
        <w:rPr>
          <w:rFonts w:ascii="Arial" w:hAnsi="Arial" w:cs="Arial"/>
          <w:sz w:val="24"/>
          <w:szCs w:val="24"/>
        </w:rPr>
        <w:t>S Beedham</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E37A25">
        <w:rPr>
          <w:rFonts w:ascii="Arial" w:hAnsi="Arial" w:cs="Arial"/>
          <w:sz w:val="24"/>
          <w:szCs w:val="24"/>
        </w:rPr>
        <w:t xml:space="preserve">  23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800900">
              <w:rPr>
                <w:rFonts w:ascii="Arial" w:hAnsi="Arial" w:cs="Arial"/>
                <w:b/>
                <w:color w:val="auto"/>
              </w:rPr>
              <w:t>YES</w:t>
            </w:r>
            <w:r w:rsidR="00800900">
              <w:rPr>
                <w:rFonts w:ascii="Arial" w:hAnsi="Arial" w:cs="Arial"/>
                <w:color w:val="auto"/>
              </w:rPr>
              <w:t xml:space="preserve">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316EA4">
              <w:rPr>
                <w:rFonts w:ascii="Arial" w:hAnsi="Arial" w:cs="Arial"/>
                <w:color w:val="auto"/>
              </w:rPr>
              <w:t xml:space="preserve">  Email and Post.</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CC21B8">
              <w:rPr>
                <w:rFonts w:ascii="Arial" w:hAnsi="Arial" w:cs="Arial"/>
              </w:rPr>
              <w:t xml:space="preserve">  36</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1C5DAB" w:rsidP="00A243E1">
                  <w:pPr>
                    <w:pStyle w:val="Default"/>
                    <w:tabs>
                      <w:tab w:val="left" w:pos="142"/>
                    </w:tabs>
                    <w:rPr>
                      <w:rFonts w:ascii="Arial" w:hAnsi="Arial" w:cs="Arial"/>
                    </w:rPr>
                  </w:pPr>
                  <w:r>
                    <w:rPr>
                      <w:rFonts w:ascii="Arial" w:hAnsi="Arial" w:cs="Arial"/>
                    </w:rPr>
                    <w:t>49.5</w:t>
                  </w:r>
                </w:p>
              </w:tc>
              <w:tc>
                <w:tcPr>
                  <w:tcW w:w="1985" w:type="dxa"/>
                </w:tcPr>
                <w:p w:rsidR="00A75AE8" w:rsidRPr="002649FE" w:rsidRDefault="001C5DAB" w:rsidP="00A243E1">
                  <w:pPr>
                    <w:pStyle w:val="Default"/>
                    <w:tabs>
                      <w:tab w:val="left" w:pos="142"/>
                    </w:tabs>
                    <w:rPr>
                      <w:rFonts w:ascii="Arial" w:hAnsi="Arial" w:cs="Arial"/>
                    </w:rPr>
                  </w:pPr>
                  <w:r>
                    <w:rPr>
                      <w:rFonts w:ascii="Arial" w:hAnsi="Arial" w:cs="Arial"/>
                    </w:rPr>
                    <w:t>50.5</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202DDC" w:rsidP="00A243E1">
                  <w:pPr>
                    <w:pStyle w:val="Default"/>
                    <w:tabs>
                      <w:tab w:val="left" w:pos="142"/>
                    </w:tabs>
                    <w:rPr>
                      <w:rFonts w:ascii="Arial" w:hAnsi="Arial" w:cs="Arial"/>
                    </w:rPr>
                  </w:pPr>
                  <w:r>
                    <w:rPr>
                      <w:rFonts w:ascii="Arial" w:hAnsi="Arial" w:cs="Arial"/>
                    </w:rPr>
                    <w:t>53.5</w:t>
                  </w:r>
                </w:p>
              </w:tc>
              <w:tc>
                <w:tcPr>
                  <w:tcW w:w="1985" w:type="dxa"/>
                </w:tcPr>
                <w:p w:rsidR="00A75AE8" w:rsidRPr="002649FE" w:rsidRDefault="00202DDC" w:rsidP="00A243E1">
                  <w:pPr>
                    <w:pStyle w:val="Default"/>
                    <w:tabs>
                      <w:tab w:val="left" w:pos="142"/>
                    </w:tabs>
                    <w:rPr>
                      <w:rFonts w:ascii="Arial" w:hAnsi="Arial" w:cs="Arial"/>
                    </w:rPr>
                  </w:pPr>
                  <w:r>
                    <w:rPr>
                      <w:rFonts w:ascii="Arial" w:hAnsi="Arial" w:cs="Arial"/>
                    </w:rPr>
                    <w:t>46.5</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6422FF" w:rsidP="00A243E1">
                  <w:pPr>
                    <w:pStyle w:val="Default"/>
                    <w:tabs>
                      <w:tab w:val="left" w:pos="142"/>
                    </w:tabs>
                    <w:rPr>
                      <w:rFonts w:ascii="Arial" w:hAnsi="Arial" w:cs="Arial"/>
                    </w:rPr>
                  </w:pPr>
                  <w:r>
                    <w:rPr>
                      <w:rFonts w:ascii="Arial" w:hAnsi="Arial" w:cs="Arial"/>
                    </w:rPr>
                    <w:t>16</w:t>
                  </w:r>
                  <w:r w:rsidR="003F2651">
                    <w:rPr>
                      <w:rFonts w:ascii="Arial" w:hAnsi="Arial" w:cs="Arial"/>
                    </w:rPr>
                    <w:t>.2</w:t>
                  </w:r>
                </w:p>
              </w:tc>
              <w:tc>
                <w:tcPr>
                  <w:tcW w:w="850" w:type="dxa"/>
                </w:tcPr>
                <w:p w:rsidR="00A75AE8" w:rsidRPr="002649FE" w:rsidRDefault="006422FF" w:rsidP="00A243E1">
                  <w:pPr>
                    <w:pStyle w:val="Default"/>
                    <w:tabs>
                      <w:tab w:val="left" w:pos="142"/>
                    </w:tabs>
                    <w:rPr>
                      <w:rFonts w:ascii="Arial" w:hAnsi="Arial" w:cs="Arial"/>
                    </w:rPr>
                  </w:pPr>
                  <w:r>
                    <w:rPr>
                      <w:rFonts w:ascii="Arial" w:hAnsi="Arial" w:cs="Arial"/>
                    </w:rPr>
                    <w:t>7.8</w:t>
                  </w:r>
                  <w:r w:rsidR="003F2651">
                    <w:rPr>
                      <w:rFonts w:ascii="Arial" w:hAnsi="Arial" w:cs="Arial"/>
                    </w:rPr>
                    <w:t>3</w:t>
                  </w:r>
                </w:p>
              </w:tc>
              <w:tc>
                <w:tcPr>
                  <w:tcW w:w="851" w:type="dxa"/>
                </w:tcPr>
                <w:p w:rsidR="00A75AE8" w:rsidRPr="002649FE" w:rsidRDefault="006422FF" w:rsidP="00A243E1">
                  <w:pPr>
                    <w:pStyle w:val="Default"/>
                    <w:tabs>
                      <w:tab w:val="left" w:pos="142"/>
                    </w:tabs>
                    <w:rPr>
                      <w:rFonts w:ascii="Arial" w:hAnsi="Arial" w:cs="Arial"/>
                    </w:rPr>
                  </w:pPr>
                  <w:r>
                    <w:rPr>
                      <w:rFonts w:ascii="Arial" w:hAnsi="Arial" w:cs="Arial"/>
                    </w:rPr>
                    <w:t>9.25</w:t>
                  </w:r>
                </w:p>
              </w:tc>
              <w:tc>
                <w:tcPr>
                  <w:tcW w:w="850" w:type="dxa"/>
                </w:tcPr>
                <w:p w:rsidR="00A75AE8" w:rsidRPr="002649FE" w:rsidRDefault="006422FF" w:rsidP="00A243E1">
                  <w:pPr>
                    <w:pStyle w:val="Default"/>
                    <w:tabs>
                      <w:tab w:val="left" w:pos="142"/>
                    </w:tabs>
                    <w:rPr>
                      <w:rFonts w:ascii="Arial" w:hAnsi="Arial" w:cs="Arial"/>
                    </w:rPr>
                  </w:pPr>
                  <w:r>
                    <w:rPr>
                      <w:rFonts w:ascii="Arial" w:hAnsi="Arial" w:cs="Arial"/>
                    </w:rPr>
                    <w:t>11.5</w:t>
                  </w:r>
                </w:p>
              </w:tc>
              <w:tc>
                <w:tcPr>
                  <w:tcW w:w="851" w:type="dxa"/>
                </w:tcPr>
                <w:p w:rsidR="00A75AE8" w:rsidRPr="002649FE" w:rsidRDefault="003F2651" w:rsidP="00A243E1">
                  <w:pPr>
                    <w:pStyle w:val="Default"/>
                    <w:tabs>
                      <w:tab w:val="left" w:pos="142"/>
                    </w:tabs>
                    <w:rPr>
                      <w:rFonts w:ascii="Arial" w:hAnsi="Arial" w:cs="Arial"/>
                    </w:rPr>
                  </w:pPr>
                  <w:r>
                    <w:rPr>
                      <w:rFonts w:ascii="Arial" w:hAnsi="Arial" w:cs="Arial"/>
                    </w:rPr>
                    <w:t>15.67</w:t>
                  </w:r>
                </w:p>
              </w:tc>
              <w:tc>
                <w:tcPr>
                  <w:tcW w:w="850" w:type="dxa"/>
                </w:tcPr>
                <w:p w:rsidR="00A75AE8" w:rsidRPr="002649FE" w:rsidRDefault="003F2651" w:rsidP="00A243E1">
                  <w:pPr>
                    <w:pStyle w:val="Default"/>
                    <w:tabs>
                      <w:tab w:val="left" w:pos="142"/>
                    </w:tabs>
                    <w:rPr>
                      <w:rFonts w:ascii="Arial" w:hAnsi="Arial" w:cs="Arial"/>
                    </w:rPr>
                  </w:pPr>
                  <w:r>
                    <w:rPr>
                      <w:rFonts w:ascii="Arial" w:hAnsi="Arial" w:cs="Arial"/>
                    </w:rPr>
                    <w:t>14.6</w:t>
                  </w:r>
                </w:p>
              </w:tc>
              <w:tc>
                <w:tcPr>
                  <w:tcW w:w="851" w:type="dxa"/>
                </w:tcPr>
                <w:p w:rsidR="00A75AE8" w:rsidRPr="002649FE" w:rsidRDefault="006422FF" w:rsidP="00A243E1">
                  <w:pPr>
                    <w:pStyle w:val="Default"/>
                    <w:tabs>
                      <w:tab w:val="left" w:pos="142"/>
                    </w:tabs>
                    <w:rPr>
                      <w:rFonts w:ascii="Arial" w:hAnsi="Arial" w:cs="Arial"/>
                    </w:rPr>
                  </w:pPr>
                  <w:r>
                    <w:rPr>
                      <w:rFonts w:ascii="Arial" w:hAnsi="Arial" w:cs="Arial"/>
                    </w:rPr>
                    <w:t>14.2</w:t>
                  </w:r>
                  <w:r w:rsidR="003F2651">
                    <w:rPr>
                      <w:rFonts w:ascii="Arial" w:hAnsi="Arial" w:cs="Arial"/>
                    </w:rPr>
                    <w:t>5</w:t>
                  </w:r>
                </w:p>
              </w:tc>
              <w:tc>
                <w:tcPr>
                  <w:tcW w:w="708" w:type="dxa"/>
                </w:tcPr>
                <w:p w:rsidR="00A75AE8" w:rsidRPr="002649FE" w:rsidRDefault="006422FF" w:rsidP="00A243E1">
                  <w:pPr>
                    <w:pStyle w:val="Default"/>
                    <w:tabs>
                      <w:tab w:val="left" w:pos="142"/>
                    </w:tabs>
                    <w:rPr>
                      <w:rFonts w:ascii="Arial" w:hAnsi="Arial" w:cs="Arial"/>
                    </w:rPr>
                  </w:pPr>
                  <w:r>
                    <w:rPr>
                      <w:rFonts w:ascii="Arial" w:hAnsi="Arial" w:cs="Arial"/>
                    </w:rPr>
                    <w:t>10</w:t>
                  </w:r>
                  <w:r w:rsidR="003F2651">
                    <w:rPr>
                      <w:rFonts w:ascii="Arial" w:hAnsi="Arial" w:cs="Arial"/>
                    </w:rPr>
                    <w:t>.7</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CF453E" w:rsidP="00A243E1">
                  <w:pPr>
                    <w:pStyle w:val="Default"/>
                    <w:tabs>
                      <w:tab w:val="left" w:pos="142"/>
                    </w:tabs>
                    <w:rPr>
                      <w:rFonts w:ascii="Arial" w:hAnsi="Arial" w:cs="Arial"/>
                    </w:rPr>
                  </w:pPr>
                  <w:r>
                    <w:rPr>
                      <w:rFonts w:ascii="Arial" w:hAnsi="Arial" w:cs="Arial"/>
                    </w:rPr>
                    <w:t>3.3</w:t>
                  </w:r>
                  <w:r w:rsidR="00CC21B8">
                    <w:rPr>
                      <w:rFonts w:ascii="Arial" w:hAnsi="Arial" w:cs="Arial"/>
                    </w:rPr>
                    <w:t>3</w:t>
                  </w:r>
                </w:p>
              </w:tc>
              <w:tc>
                <w:tcPr>
                  <w:tcW w:w="850" w:type="dxa"/>
                </w:tcPr>
                <w:p w:rsidR="00A75AE8" w:rsidRPr="002649FE" w:rsidRDefault="00877F70" w:rsidP="00A243E1">
                  <w:pPr>
                    <w:pStyle w:val="Default"/>
                    <w:tabs>
                      <w:tab w:val="left" w:pos="142"/>
                    </w:tabs>
                    <w:rPr>
                      <w:rFonts w:ascii="Arial" w:hAnsi="Arial" w:cs="Arial"/>
                    </w:rPr>
                  </w:pPr>
                  <w:r>
                    <w:rPr>
                      <w:rFonts w:ascii="Arial" w:hAnsi="Arial" w:cs="Arial"/>
                    </w:rPr>
                    <w:t>3.33</w:t>
                  </w:r>
                </w:p>
              </w:tc>
              <w:tc>
                <w:tcPr>
                  <w:tcW w:w="851" w:type="dxa"/>
                </w:tcPr>
                <w:p w:rsidR="00A75AE8" w:rsidRPr="002649FE" w:rsidRDefault="00DA141D" w:rsidP="00A243E1">
                  <w:pPr>
                    <w:pStyle w:val="Default"/>
                    <w:tabs>
                      <w:tab w:val="left" w:pos="142"/>
                    </w:tabs>
                    <w:rPr>
                      <w:rFonts w:ascii="Arial" w:hAnsi="Arial" w:cs="Arial"/>
                    </w:rPr>
                  </w:pPr>
                  <w:r>
                    <w:rPr>
                      <w:rFonts w:ascii="Arial" w:hAnsi="Arial" w:cs="Arial"/>
                    </w:rPr>
                    <w:t>6.6</w:t>
                  </w:r>
                  <w:r w:rsidR="008752EA">
                    <w:rPr>
                      <w:rFonts w:ascii="Arial" w:hAnsi="Arial" w:cs="Arial"/>
                    </w:rPr>
                    <w:t>6</w:t>
                  </w:r>
                </w:p>
              </w:tc>
              <w:tc>
                <w:tcPr>
                  <w:tcW w:w="850" w:type="dxa"/>
                </w:tcPr>
                <w:p w:rsidR="00A75AE8" w:rsidRPr="002649FE" w:rsidRDefault="00207398" w:rsidP="00A243E1">
                  <w:pPr>
                    <w:pStyle w:val="Default"/>
                    <w:tabs>
                      <w:tab w:val="left" w:pos="142"/>
                    </w:tabs>
                    <w:rPr>
                      <w:rFonts w:ascii="Arial" w:hAnsi="Arial" w:cs="Arial"/>
                    </w:rPr>
                  </w:pPr>
                  <w:r>
                    <w:rPr>
                      <w:rFonts w:ascii="Arial" w:hAnsi="Arial" w:cs="Arial"/>
                    </w:rPr>
                    <w:t>13.33</w:t>
                  </w:r>
                </w:p>
              </w:tc>
              <w:tc>
                <w:tcPr>
                  <w:tcW w:w="851" w:type="dxa"/>
                </w:tcPr>
                <w:p w:rsidR="00A75AE8" w:rsidRPr="002649FE" w:rsidRDefault="00207398" w:rsidP="00A243E1">
                  <w:pPr>
                    <w:pStyle w:val="Default"/>
                    <w:tabs>
                      <w:tab w:val="left" w:pos="142"/>
                    </w:tabs>
                    <w:rPr>
                      <w:rFonts w:ascii="Arial" w:hAnsi="Arial" w:cs="Arial"/>
                    </w:rPr>
                  </w:pPr>
                  <w:r>
                    <w:rPr>
                      <w:rFonts w:ascii="Arial" w:hAnsi="Arial" w:cs="Arial"/>
                    </w:rPr>
                    <w:t>16.66</w:t>
                  </w:r>
                </w:p>
              </w:tc>
              <w:tc>
                <w:tcPr>
                  <w:tcW w:w="850" w:type="dxa"/>
                </w:tcPr>
                <w:p w:rsidR="00A75AE8" w:rsidRPr="002649FE" w:rsidRDefault="00207398" w:rsidP="00A243E1">
                  <w:pPr>
                    <w:pStyle w:val="Default"/>
                    <w:tabs>
                      <w:tab w:val="left" w:pos="142"/>
                    </w:tabs>
                    <w:rPr>
                      <w:rFonts w:ascii="Arial" w:hAnsi="Arial" w:cs="Arial"/>
                    </w:rPr>
                  </w:pPr>
                  <w:r>
                    <w:rPr>
                      <w:rFonts w:ascii="Arial" w:hAnsi="Arial" w:cs="Arial"/>
                    </w:rPr>
                    <w:t>16.66</w:t>
                  </w:r>
                </w:p>
              </w:tc>
              <w:tc>
                <w:tcPr>
                  <w:tcW w:w="851" w:type="dxa"/>
                </w:tcPr>
                <w:p w:rsidR="00A75AE8" w:rsidRPr="002649FE" w:rsidRDefault="00CC21B8" w:rsidP="00A243E1">
                  <w:pPr>
                    <w:pStyle w:val="Default"/>
                    <w:tabs>
                      <w:tab w:val="left" w:pos="142"/>
                    </w:tabs>
                    <w:rPr>
                      <w:rFonts w:ascii="Arial" w:hAnsi="Arial" w:cs="Arial"/>
                    </w:rPr>
                  </w:pPr>
                  <w:r>
                    <w:rPr>
                      <w:rFonts w:ascii="Arial" w:hAnsi="Arial" w:cs="Arial"/>
                    </w:rPr>
                    <w:t>20</w:t>
                  </w:r>
                </w:p>
              </w:tc>
              <w:tc>
                <w:tcPr>
                  <w:tcW w:w="708" w:type="dxa"/>
                </w:tcPr>
                <w:p w:rsidR="00A75AE8" w:rsidRPr="002649FE" w:rsidRDefault="00877F70" w:rsidP="00A243E1">
                  <w:pPr>
                    <w:pStyle w:val="Default"/>
                    <w:tabs>
                      <w:tab w:val="left" w:pos="142"/>
                    </w:tabs>
                    <w:rPr>
                      <w:rFonts w:ascii="Arial" w:hAnsi="Arial" w:cs="Arial"/>
                    </w:rPr>
                  </w:pPr>
                  <w:r>
                    <w:rPr>
                      <w:rFonts w:ascii="Arial" w:hAnsi="Arial" w:cs="Arial"/>
                    </w:rPr>
                    <w:t>20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8907EC" w:rsidP="00A243E1">
                  <w:pPr>
                    <w:pStyle w:val="Default"/>
                    <w:tabs>
                      <w:tab w:val="left" w:pos="142"/>
                    </w:tabs>
                    <w:rPr>
                      <w:rFonts w:ascii="Arial" w:hAnsi="Arial" w:cs="Arial"/>
                      <w:color w:val="auto"/>
                    </w:rPr>
                  </w:pPr>
                  <w:r>
                    <w:rPr>
                      <w:rFonts w:ascii="Arial" w:hAnsi="Arial" w:cs="Arial"/>
                      <w:color w:val="auto"/>
                    </w:rPr>
                    <w:t>10151</w:t>
                  </w:r>
                </w:p>
              </w:tc>
              <w:tc>
                <w:tcPr>
                  <w:tcW w:w="851" w:type="dxa"/>
                </w:tcPr>
                <w:p w:rsidR="00A75AE8" w:rsidRPr="002649FE" w:rsidRDefault="008907EC" w:rsidP="00A243E1">
                  <w:pPr>
                    <w:pStyle w:val="Default"/>
                    <w:tabs>
                      <w:tab w:val="left" w:pos="142"/>
                    </w:tabs>
                    <w:rPr>
                      <w:rFonts w:ascii="Arial" w:hAnsi="Arial" w:cs="Arial"/>
                      <w:color w:val="auto"/>
                    </w:rPr>
                  </w:pPr>
                  <w:r>
                    <w:rPr>
                      <w:rFonts w:ascii="Arial" w:hAnsi="Arial" w:cs="Arial"/>
                      <w:color w:val="auto"/>
                    </w:rPr>
                    <w:t>4</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34273D" w:rsidP="00A243E1">
                  <w:pPr>
                    <w:pStyle w:val="Default"/>
                    <w:tabs>
                      <w:tab w:val="left" w:pos="142"/>
                    </w:tabs>
                    <w:rPr>
                      <w:rFonts w:ascii="Arial" w:hAnsi="Arial" w:cs="Arial"/>
                      <w:color w:val="auto"/>
                    </w:rPr>
                  </w:pPr>
                  <w:r>
                    <w:rPr>
                      <w:rFonts w:ascii="Arial" w:hAnsi="Arial" w:cs="Arial"/>
                      <w:color w:val="auto"/>
                    </w:rPr>
                    <w:t>38</w:t>
                  </w:r>
                </w:p>
              </w:tc>
              <w:tc>
                <w:tcPr>
                  <w:tcW w:w="1418" w:type="dxa"/>
                </w:tcPr>
                <w:p w:rsidR="00A75AE8" w:rsidRPr="002649FE" w:rsidRDefault="000828FA" w:rsidP="00A243E1">
                  <w:pPr>
                    <w:pStyle w:val="Default"/>
                    <w:tabs>
                      <w:tab w:val="left" w:pos="142"/>
                    </w:tabs>
                    <w:rPr>
                      <w:rFonts w:ascii="Arial" w:hAnsi="Arial" w:cs="Arial"/>
                      <w:color w:val="auto"/>
                    </w:rPr>
                  </w:pPr>
                  <w:r>
                    <w:rPr>
                      <w:rFonts w:ascii="Arial" w:hAnsi="Arial" w:cs="Arial"/>
                      <w:color w:val="auto"/>
                    </w:rPr>
                    <w:t>4</w:t>
                  </w:r>
                </w:p>
              </w:tc>
              <w:tc>
                <w:tcPr>
                  <w:tcW w:w="1843" w:type="dxa"/>
                </w:tcPr>
                <w:p w:rsidR="00A75AE8" w:rsidRPr="002649FE" w:rsidRDefault="000828FA"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0828FA" w:rsidP="00A243E1">
                  <w:pPr>
                    <w:pStyle w:val="Default"/>
                    <w:tabs>
                      <w:tab w:val="left" w:pos="142"/>
                    </w:tabs>
                    <w:rPr>
                      <w:rFonts w:ascii="Arial" w:hAnsi="Arial" w:cs="Arial"/>
                      <w:color w:val="auto"/>
                    </w:rPr>
                  </w:pPr>
                  <w:r>
                    <w:rPr>
                      <w:rFonts w:ascii="Arial" w:hAnsi="Arial" w:cs="Arial"/>
                      <w:color w:val="auto"/>
                    </w:rPr>
                    <w:t>4</w:t>
                  </w:r>
                </w:p>
              </w:tc>
              <w:tc>
                <w:tcPr>
                  <w:tcW w:w="992" w:type="dxa"/>
                </w:tcPr>
                <w:p w:rsidR="00A75AE8" w:rsidRPr="002649FE" w:rsidRDefault="000828FA" w:rsidP="00A243E1">
                  <w:pPr>
                    <w:pStyle w:val="Default"/>
                    <w:tabs>
                      <w:tab w:val="left" w:pos="142"/>
                    </w:tabs>
                    <w:rPr>
                      <w:rFonts w:ascii="Arial" w:hAnsi="Arial" w:cs="Arial"/>
                      <w:color w:val="auto"/>
                    </w:rPr>
                  </w:pPr>
                  <w:r>
                    <w:rPr>
                      <w:rFonts w:ascii="Arial" w:hAnsi="Arial" w:cs="Arial"/>
                      <w:color w:val="auto"/>
                    </w:rPr>
                    <w:t>2</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BB3B60" w:rsidP="00A243E1">
                  <w:pPr>
                    <w:pStyle w:val="Default"/>
                    <w:tabs>
                      <w:tab w:val="left" w:pos="142"/>
                    </w:tabs>
                    <w:rPr>
                      <w:rFonts w:ascii="Arial" w:hAnsi="Arial" w:cs="Arial"/>
                      <w:color w:val="auto"/>
                    </w:rPr>
                  </w:pPr>
                  <w:r>
                    <w:rPr>
                      <w:rFonts w:ascii="Arial" w:hAnsi="Arial" w:cs="Arial"/>
                      <w:color w:val="auto"/>
                    </w:rPr>
                    <w:t>35</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BB3B60" w:rsidP="00A243E1">
                  <w:pPr>
                    <w:pStyle w:val="Default"/>
                    <w:tabs>
                      <w:tab w:val="left" w:pos="142"/>
                    </w:tabs>
                    <w:rPr>
                      <w:rFonts w:ascii="Arial" w:hAnsi="Arial" w:cs="Arial"/>
                      <w:color w:val="auto"/>
                    </w:rPr>
                  </w:pPr>
                  <w:r>
                    <w:rPr>
                      <w:rFonts w:ascii="Arial" w:hAnsi="Arial" w:cs="Arial"/>
                      <w:color w:val="auto"/>
                    </w:rPr>
                    <w:t>1</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0828FA" w:rsidP="00A243E1">
                  <w:pPr>
                    <w:pStyle w:val="Default"/>
                    <w:tabs>
                      <w:tab w:val="left" w:pos="142"/>
                    </w:tabs>
                    <w:rPr>
                      <w:rFonts w:ascii="Arial" w:hAnsi="Arial" w:cs="Arial"/>
                    </w:rPr>
                  </w:pPr>
                  <w:r>
                    <w:rPr>
                      <w:rFonts w:ascii="Arial" w:hAnsi="Arial" w:cs="Arial"/>
                    </w:rPr>
                    <w:t>2</w:t>
                  </w:r>
                </w:p>
              </w:tc>
              <w:tc>
                <w:tcPr>
                  <w:tcW w:w="1417" w:type="dxa"/>
                </w:tcPr>
                <w:p w:rsidR="00A75AE8" w:rsidRPr="002649FE" w:rsidRDefault="000828FA" w:rsidP="00A243E1">
                  <w:pPr>
                    <w:pStyle w:val="Default"/>
                    <w:tabs>
                      <w:tab w:val="left" w:pos="142"/>
                    </w:tabs>
                    <w:rPr>
                      <w:rFonts w:ascii="Arial" w:hAnsi="Arial" w:cs="Arial"/>
                    </w:rPr>
                  </w:pPr>
                  <w:r>
                    <w:rPr>
                      <w:rFonts w:ascii="Arial" w:hAnsi="Arial" w:cs="Arial"/>
                    </w:rPr>
                    <w:t>4</w:t>
                  </w: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993" w:type="dxa"/>
                </w:tcPr>
                <w:p w:rsidR="00A75AE8" w:rsidRPr="002649FE" w:rsidRDefault="000828FA" w:rsidP="00A243E1">
                  <w:pPr>
                    <w:pStyle w:val="Default"/>
                    <w:tabs>
                      <w:tab w:val="left" w:pos="142"/>
                    </w:tabs>
                    <w:rPr>
                      <w:rFonts w:ascii="Arial" w:hAnsi="Arial" w:cs="Arial"/>
                      <w:color w:val="auto"/>
                    </w:rPr>
                  </w:pPr>
                  <w:r>
                    <w:rPr>
                      <w:rFonts w:ascii="Arial" w:hAnsi="Arial" w:cs="Arial"/>
                      <w:color w:val="auto"/>
                    </w:rPr>
                    <w:t>2</w:t>
                  </w:r>
                </w:p>
              </w:tc>
              <w:tc>
                <w:tcPr>
                  <w:tcW w:w="1134" w:type="dxa"/>
                </w:tcPr>
                <w:p w:rsidR="00A75AE8" w:rsidRPr="002649FE" w:rsidRDefault="000828FA" w:rsidP="00A243E1">
                  <w:pPr>
                    <w:pStyle w:val="Default"/>
                    <w:tabs>
                      <w:tab w:val="left" w:pos="142"/>
                    </w:tabs>
                    <w:rPr>
                      <w:rFonts w:ascii="Arial" w:hAnsi="Arial" w:cs="Arial"/>
                      <w:color w:val="auto"/>
                    </w:rPr>
                  </w:pPr>
                  <w:r>
                    <w:rPr>
                      <w:rFonts w:ascii="Arial" w:hAnsi="Arial" w:cs="Arial"/>
                      <w:color w:val="auto"/>
                    </w:rPr>
                    <w:t>6</w:t>
                  </w:r>
                </w:p>
              </w:tc>
              <w:tc>
                <w:tcPr>
                  <w:tcW w:w="1417" w:type="dxa"/>
                </w:tcPr>
                <w:p w:rsidR="00A75AE8" w:rsidRPr="002649FE" w:rsidRDefault="000828FA"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D65A9" w:rsidP="00A243E1">
            <w:pPr>
              <w:tabs>
                <w:tab w:val="left" w:pos="142"/>
              </w:tabs>
              <w:rPr>
                <w:rFonts w:ascii="Arial" w:hAnsi="Arial" w:cs="Arial"/>
                <w:b/>
                <w:sz w:val="24"/>
                <w:szCs w:val="24"/>
              </w:rPr>
            </w:pPr>
            <w:r>
              <w:rPr>
                <w:rFonts w:ascii="Arial" w:hAnsi="Arial" w:cs="Arial"/>
                <w:b/>
                <w:sz w:val="24"/>
                <w:szCs w:val="24"/>
              </w:rPr>
              <w:t xml:space="preserve">Variety of patients were initially invited to join our PPG which included a range of patients including gender, age and different service users, </w:t>
            </w:r>
            <w:r w:rsidR="009A707B">
              <w:rPr>
                <w:rFonts w:ascii="Arial" w:hAnsi="Arial" w:cs="Arial"/>
                <w:b/>
                <w:sz w:val="24"/>
                <w:szCs w:val="24"/>
              </w:rPr>
              <w:t>i.e.</w:t>
            </w:r>
            <w:r>
              <w:rPr>
                <w:rFonts w:ascii="Arial" w:hAnsi="Arial" w:cs="Arial"/>
                <w:b/>
                <w:sz w:val="24"/>
                <w:szCs w:val="24"/>
              </w:rPr>
              <w:t xml:space="preserve"> care home, mental health, long term conditions etc.</w:t>
            </w:r>
          </w:p>
          <w:p w:rsidR="00AD65A9" w:rsidRDefault="00AD65A9" w:rsidP="00A243E1">
            <w:pPr>
              <w:tabs>
                <w:tab w:val="left" w:pos="142"/>
              </w:tabs>
              <w:rPr>
                <w:rFonts w:ascii="Arial" w:hAnsi="Arial" w:cs="Arial"/>
                <w:b/>
                <w:sz w:val="24"/>
                <w:szCs w:val="24"/>
              </w:rPr>
            </w:pPr>
            <w:r>
              <w:rPr>
                <w:rFonts w:ascii="Arial" w:hAnsi="Arial" w:cs="Arial"/>
                <w:b/>
                <w:sz w:val="24"/>
                <w:szCs w:val="24"/>
              </w:rPr>
              <w:t>The vast majority of our patients are white ethnicity.</w:t>
            </w:r>
          </w:p>
          <w:p w:rsidR="00A64B9F" w:rsidRPr="002649FE" w:rsidRDefault="00A64B9F" w:rsidP="00A243E1">
            <w:pPr>
              <w:tabs>
                <w:tab w:val="left" w:pos="142"/>
              </w:tabs>
              <w:rPr>
                <w:rFonts w:ascii="Arial" w:hAnsi="Arial" w:cs="Arial"/>
                <w:b/>
                <w:sz w:val="24"/>
                <w:szCs w:val="24"/>
              </w:rPr>
            </w:pPr>
            <w:r>
              <w:rPr>
                <w:rFonts w:ascii="Arial" w:hAnsi="Arial" w:cs="Arial"/>
                <w:b/>
                <w:sz w:val="24"/>
                <w:szCs w:val="24"/>
              </w:rPr>
              <w:t>We continue to advertise and promote our PPG via newsletter, our website and noticeboards.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bookmarkStart w:id="0" w:name="_GoBack"/>
            <w:bookmarkEnd w:id="0"/>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e.g. a large student population, significant number of jobseekers, large numbers of nursing homes, or a LGBT community?</w:t>
            </w:r>
            <w:r w:rsidRPr="00C14D47">
              <w:rPr>
                <w:rFonts w:ascii="Arial" w:hAnsi="Arial" w:cs="Arial"/>
                <w:b/>
                <w:sz w:val="24"/>
                <w:szCs w:val="24"/>
              </w:rPr>
              <w:t xml:space="preserve"> 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Default="00BB3E0B" w:rsidP="00A243E1">
            <w:pPr>
              <w:pStyle w:val="Default"/>
              <w:tabs>
                <w:tab w:val="left" w:pos="142"/>
              </w:tabs>
              <w:rPr>
                <w:rFonts w:ascii="Arial" w:hAnsi="Arial" w:cs="Arial"/>
              </w:rPr>
            </w:pPr>
            <w:r>
              <w:rPr>
                <w:rFonts w:ascii="Arial" w:hAnsi="Arial" w:cs="Arial"/>
              </w:rPr>
              <w:t>The practice carried out an annual patient survey during the year 2014/15.  We also have a patient concern/suggestion box which is reviewed monthly.  We also take part in the Friends and Family Test and review patient complaints and therefore we collect patient feedback from a variety of sources.</w:t>
            </w:r>
          </w:p>
          <w:p w:rsidR="00BB3E0B" w:rsidRPr="002649FE" w:rsidRDefault="00BB3E0B" w:rsidP="00A243E1">
            <w:pPr>
              <w:pStyle w:val="Default"/>
              <w:tabs>
                <w:tab w:val="left" w:pos="142"/>
              </w:tabs>
              <w:rPr>
                <w:rFonts w:ascii="Arial" w:hAnsi="Arial" w:cs="Arial"/>
              </w:rPr>
            </w:pPr>
            <w:r>
              <w:rPr>
                <w:rFonts w:ascii="Arial" w:hAnsi="Arial" w:cs="Arial"/>
              </w:rPr>
              <w:t xml:space="preserve">We also undertake surveys with </w:t>
            </w:r>
            <w:r w:rsidR="00846D92">
              <w:rPr>
                <w:rFonts w:ascii="Arial" w:hAnsi="Arial" w:cs="Arial"/>
              </w:rPr>
              <w:t>regards to a particular service</w:t>
            </w:r>
            <w:r>
              <w:rPr>
                <w:rFonts w:ascii="Arial" w:hAnsi="Arial" w:cs="Arial"/>
              </w:rPr>
              <w:t xml:space="preserve">, </w:t>
            </w:r>
            <w:r w:rsidR="009A707B">
              <w:rPr>
                <w:rFonts w:ascii="Arial" w:hAnsi="Arial" w:cs="Arial"/>
              </w:rPr>
              <w:t>i.e.</w:t>
            </w:r>
            <w:r>
              <w:rPr>
                <w:rFonts w:ascii="Arial" w:hAnsi="Arial" w:cs="Arial"/>
              </w:rPr>
              <w:t xml:space="preserve"> Long Term Conditions.</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6068E0" w:rsidRDefault="006068E0" w:rsidP="00A243E1">
            <w:pPr>
              <w:pStyle w:val="Default"/>
              <w:tabs>
                <w:tab w:val="left" w:pos="142"/>
              </w:tabs>
              <w:rPr>
                <w:rFonts w:ascii="Arial" w:hAnsi="Arial" w:cs="Arial"/>
                <w:sz w:val="24"/>
              </w:rPr>
            </w:pPr>
          </w:p>
          <w:p w:rsidR="006068E0" w:rsidRPr="002649FE" w:rsidRDefault="006068E0" w:rsidP="00A243E1">
            <w:pPr>
              <w:pStyle w:val="Default"/>
              <w:tabs>
                <w:tab w:val="left" w:pos="142"/>
              </w:tabs>
              <w:rPr>
                <w:rFonts w:ascii="Arial" w:hAnsi="Arial" w:cs="Arial"/>
                <w:sz w:val="24"/>
              </w:rPr>
            </w:pPr>
            <w:r>
              <w:rPr>
                <w:rFonts w:ascii="Arial" w:hAnsi="Arial" w:cs="Arial"/>
                <w:sz w:val="24"/>
              </w:rPr>
              <w:t xml:space="preserve">We have a patient notice board that provides feedback to our practice population and also email our PRG regarding any actions that the practice undertakes.  Following our recent patient survey – results of these have been shared with the PRG.  We aim to review feedback and concerns with the PRG at least </w:t>
            </w:r>
            <w:r w:rsidR="009A6C69">
              <w:rPr>
                <w:rFonts w:ascii="Arial" w:hAnsi="Arial" w:cs="Arial"/>
                <w:sz w:val="24"/>
              </w:rPr>
              <w:t>twice</w:t>
            </w:r>
            <w:r>
              <w:rPr>
                <w:rFonts w:ascii="Arial" w:hAnsi="Arial" w:cs="Arial"/>
                <w:sz w:val="24"/>
              </w:rPr>
              <w:t xml:space="preserve"> per year.</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570D9B" w:rsidRPr="002649FE" w:rsidRDefault="00570D9B" w:rsidP="00A243E1">
            <w:pPr>
              <w:pStyle w:val="Default"/>
              <w:tabs>
                <w:tab w:val="left" w:pos="142"/>
              </w:tabs>
              <w:rPr>
                <w:rFonts w:ascii="Arial" w:hAnsi="Arial" w:cs="Arial"/>
                <w:sz w:val="24"/>
              </w:rPr>
            </w:pPr>
            <w:r>
              <w:rPr>
                <w:rFonts w:ascii="Arial" w:hAnsi="Arial" w:cs="Arial"/>
                <w:sz w:val="24"/>
              </w:rPr>
              <w:t>Waiting times for appointments at community clinics was highlighted as an issue.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570D9B" w:rsidP="00A243E1">
            <w:pPr>
              <w:pStyle w:val="Default"/>
              <w:tabs>
                <w:tab w:val="left" w:pos="142"/>
              </w:tabs>
              <w:rPr>
                <w:rFonts w:ascii="Arial" w:hAnsi="Arial" w:cs="Arial"/>
                <w:sz w:val="24"/>
              </w:rPr>
            </w:pPr>
            <w:r>
              <w:rPr>
                <w:rFonts w:ascii="Arial" w:hAnsi="Arial" w:cs="Arial"/>
                <w:sz w:val="24"/>
              </w:rPr>
              <w:t xml:space="preserve">Discussed local schemes and used recent ‘none recurring funding’ to secure physio schemes and improve access for some services including </w:t>
            </w:r>
            <w:r w:rsidR="009A707B">
              <w:rPr>
                <w:rFonts w:ascii="Arial" w:hAnsi="Arial" w:cs="Arial"/>
                <w:sz w:val="24"/>
              </w:rPr>
              <w:t>self-refer</w:t>
            </w:r>
            <w:r>
              <w:rPr>
                <w:rFonts w:ascii="Arial" w:hAnsi="Arial" w:cs="Arial"/>
                <w:sz w:val="24"/>
              </w:rPr>
              <w:t xml:space="preserve"> processes.  The practice with the CCG will continue to mon</w:t>
            </w:r>
            <w:r w:rsidR="00846D92">
              <w:rPr>
                <w:rFonts w:ascii="Arial" w:hAnsi="Arial" w:cs="Arial"/>
                <w:sz w:val="24"/>
              </w:rPr>
              <w:t>itor waiting times and service provision.</w:t>
            </w:r>
          </w:p>
          <w:p w:rsidR="00570D9B" w:rsidRPr="002649FE" w:rsidRDefault="00570D9B"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F73EDB" w:rsidRDefault="00F73EDB" w:rsidP="00A243E1">
            <w:pPr>
              <w:pStyle w:val="Default"/>
              <w:tabs>
                <w:tab w:val="left" w:pos="142"/>
              </w:tabs>
              <w:rPr>
                <w:rFonts w:ascii="Arial" w:hAnsi="Arial" w:cs="Arial"/>
                <w:sz w:val="24"/>
              </w:rPr>
            </w:pPr>
            <w:r>
              <w:rPr>
                <w:rFonts w:ascii="Arial" w:hAnsi="Arial" w:cs="Arial"/>
                <w:sz w:val="24"/>
              </w:rPr>
              <w:t>Increasing capacity and offering a range of services that are also closer to patients.</w:t>
            </w:r>
          </w:p>
          <w:p w:rsidR="00570D9B" w:rsidRDefault="00570D9B" w:rsidP="00A243E1">
            <w:pPr>
              <w:pStyle w:val="Default"/>
              <w:tabs>
                <w:tab w:val="left" w:pos="142"/>
              </w:tabs>
              <w:rPr>
                <w:rFonts w:ascii="Arial" w:hAnsi="Arial" w:cs="Arial"/>
                <w:sz w:val="24"/>
              </w:rPr>
            </w:pPr>
            <w:r>
              <w:rPr>
                <w:rFonts w:ascii="Arial" w:hAnsi="Arial" w:cs="Arial"/>
                <w:sz w:val="24"/>
              </w:rPr>
              <w:t xml:space="preserve">New service and current services details and </w:t>
            </w:r>
            <w:r w:rsidR="009A707B">
              <w:rPr>
                <w:rFonts w:ascii="Arial" w:hAnsi="Arial" w:cs="Arial"/>
                <w:sz w:val="24"/>
              </w:rPr>
              <w:t>self-referring</w:t>
            </w:r>
            <w:r>
              <w:rPr>
                <w:rFonts w:ascii="Arial" w:hAnsi="Arial" w:cs="Arial"/>
                <w:sz w:val="24"/>
              </w:rPr>
              <w:t xml:space="preserve"> processes displayed on website and noticeboard.</w:t>
            </w:r>
          </w:p>
          <w:p w:rsidR="00570D9B" w:rsidRPr="002649FE" w:rsidRDefault="00570D9B" w:rsidP="00A243E1">
            <w:pPr>
              <w:pStyle w:val="Default"/>
              <w:tabs>
                <w:tab w:val="left" w:pos="142"/>
              </w:tabs>
              <w:rPr>
                <w:rFonts w:ascii="Arial" w:hAnsi="Arial" w:cs="Arial"/>
                <w:sz w:val="24"/>
              </w:rPr>
            </w:pPr>
            <w:r>
              <w:rPr>
                <w:rFonts w:ascii="Arial" w:hAnsi="Arial" w:cs="Arial"/>
                <w:sz w:val="24"/>
              </w:rPr>
              <w:t>CCG have also arranged for locality advertising to be done regarding services for our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6816FD" w:rsidRDefault="006816FD" w:rsidP="00A243E1">
            <w:pPr>
              <w:pStyle w:val="Default"/>
              <w:tabs>
                <w:tab w:val="left" w:pos="142"/>
              </w:tabs>
              <w:rPr>
                <w:rFonts w:ascii="Arial" w:hAnsi="Arial" w:cs="Arial"/>
                <w:sz w:val="24"/>
              </w:rPr>
            </w:pPr>
            <w:r>
              <w:rPr>
                <w:rFonts w:ascii="Arial" w:hAnsi="Arial" w:cs="Arial"/>
                <w:sz w:val="24"/>
              </w:rPr>
              <w:t>Getting through on the telephone in the morning can cause concerns and frustration for patients.</w:t>
            </w:r>
          </w:p>
          <w:p w:rsidR="00312BE1" w:rsidRDefault="006816FD" w:rsidP="00A243E1">
            <w:pPr>
              <w:pStyle w:val="Default"/>
              <w:tabs>
                <w:tab w:val="left" w:pos="142"/>
              </w:tabs>
              <w:rPr>
                <w:rFonts w:ascii="Arial" w:hAnsi="Arial" w:cs="Arial"/>
                <w:sz w:val="24"/>
              </w:rPr>
            </w:pPr>
            <w:r>
              <w:rPr>
                <w:rFonts w:ascii="Arial" w:hAnsi="Arial" w:cs="Arial"/>
                <w:sz w:val="24"/>
              </w:rPr>
              <w:t xml:space="preserve">Seems to be a </w:t>
            </w:r>
            <w:r w:rsidR="00312BE1">
              <w:rPr>
                <w:rFonts w:ascii="Arial" w:hAnsi="Arial" w:cs="Arial"/>
                <w:sz w:val="24"/>
              </w:rPr>
              <w:t xml:space="preserve">low uptake in people using the internet to book </w:t>
            </w:r>
            <w:r w:rsidR="009A707B">
              <w:rPr>
                <w:rFonts w:ascii="Arial" w:hAnsi="Arial" w:cs="Arial"/>
                <w:sz w:val="24"/>
              </w:rPr>
              <w:t>appointments</w:t>
            </w:r>
            <w:r w:rsidR="00312BE1">
              <w:rPr>
                <w:rFonts w:ascii="Arial" w:hAnsi="Arial" w:cs="Arial"/>
                <w:sz w:val="24"/>
              </w:rPr>
              <w:t>.</w:t>
            </w:r>
          </w:p>
          <w:p w:rsidR="006816FD" w:rsidRPr="002649FE" w:rsidRDefault="00312BE1" w:rsidP="00A243E1">
            <w:pPr>
              <w:pStyle w:val="Default"/>
              <w:tabs>
                <w:tab w:val="left" w:pos="142"/>
              </w:tabs>
              <w:rPr>
                <w:rFonts w:ascii="Arial" w:hAnsi="Arial" w:cs="Arial"/>
                <w:sz w:val="24"/>
              </w:rPr>
            </w:pPr>
            <w:r>
              <w:rPr>
                <w:rFonts w:ascii="Arial" w:hAnsi="Arial" w:cs="Arial"/>
                <w:sz w:val="24"/>
              </w:rPr>
              <w:t>From the survey people prefer to book appointment via telephone at 68% and only 12% via the internet. This could be due to awareness or preference.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A243E1">
            <w:pPr>
              <w:pStyle w:val="Default"/>
              <w:tabs>
                <w:tab w:val="left" w:pos="142"/>
              </w:tabs>
              <w:rPr>
                <w:rFonts w:ascii="Arial" w:hAnsi="Arial" w:cs="Arial"/>
                <w:sz w:val="24"/>
              </w:rPr>
            </w:pPr>
          </w:p>
          <w:p w:rsidR="00312BE1" w:rsidRDefault="006A2766" w:rsidP="00A243E1">
            <w:pPr>
              <w:pStyle w:val="Default"/>
              <w:tabs>
                <w:tab w:val="left" w:pos="142"/>
              </w:tabs>
              <w:rPr>
                <w:rFonts w:ascii="Arial" w:hAnsi="Arial" w:cs="Arial"/>
                <w:sz w:val="24"/>
              </w:rPr>
            </w:pPr>
            <w:r>
              <w:rPr>
                <w:rFonts w:ascii="Arial" w:hAnsi="Arial" w:cs="Arial"/>
                <w:sz w:val="24"/>
              </w:rPr>
              <w:t xml:space="preserve">Advertising and promoting online booking </w:t>
            </w:r>
            <w:r w:rsidR="00312BE1">
              <w:rPr>
                <w:rFonts w:ascii="Arial" w:hAnsi="Arial" w:cs="Arial"/>
                <w:sz w:val="24"/>
              </w:rPr>
              <w:t xml:space="preserve">facilities to see if this improve </w:t>
            </w:r>
            <w:r w:rsidR="00E7714A">
              <w:rPr>
                <w:rFonts w:ascii="Arial" w:hAnsi="Arial" w:cs="Arial"/>
                <w:sz w:val="24"/>
              </w:rPr>
              <w:t xml:space="preserve">the </w:t>
            </w:r>
            <w:r w:rsidR="00312BE1">
              <w:rPr>
                <w:rFonts w:ascii="Arial" w:hAnsi="Arial" w:cs="Arial"/>
                <w:sz w:val="24"/>
              </w:rPr>
              <w:t>uptake.</w:t>
            </w:r>
          </w:p>
          <w:p w:rsidR="006816FD" w:rsidRDefault="00312BE1" w:rsidP="00A243E1">
            <w:pPr>
              <w:pStyle w:val="Default"/>
              <w:tabs>
                <w:tab w:val="left" w:pos="142"/>
              </w:tabs>
              <w:rPr>
                <w:rFonts w:ascii="Arial" w:hAnsi="Arial" w:cs="Arial"/>
                <w:sz w:val="24"/>
              </w:rPr>
            </w:pPr>
            <w:r>
              <w:rPr>
                <w:rFonts w:ascii="Arial" w:hAnsi="Arial" w:cs="Arial"/>
                <w:sz w:val="24"/>
              </w:rPr>
              <w:t>Explaining that we offer pre booked appointments and telephone consultations.</w:t>
            </w:r>
          </w:p>
          <w:p w:rsidR="005C7ECC" w:rsidRDefault="005C7ECC" w:rsidP="00A243E1">
            <w:pPr>
              <w:pStyle w:val="Default"/>
              <w:tabs>
                <w:tab w:val="left" w:pos="142"/>
              </w:tabs>
              <w:rPr>
                <w:rFonts w:ascii="Arial" w:hAnsi="Arial" w:cs="Arial"/>
                <w:sz w:val="24"/>
              </w:rPr>
            </w:pPr>
            <w:r>
              <w:rPr>
                <w:rFonts w:ascii="Arial" w:hAnsi="Arial" w:cs="Arial"/>
                <w:sz w:val="24"/>
              </w:rPr>
              <w:t xml:space="preserve">New practice leaflet produced. </w:t>
            </w:r>
          </w:p>
          <w:p w:rsidR="005C7ECC" w:rsidRPr="002649FE" w:rsidRDefault="005C7ECC" w:rsidP="00A243E1">
            <w:pPr>
              <w:pStyle w:val="Default"/>
              <w:tabs>
                <w:tab w:val="left" w:pos="142"/>
              </w:tabs>
              <w:rPr>
                <w:rFonts w:ascii="Arial" w:hAnsi="Arial" w:cs="Arial"/>
                <w:sz w:val="24"/>
              </w:rPr>
            </w:pPr>
            <w:r>
              <w:rPr>
                <w:rFonts w:ascii="Arial" w:hAnsi="Arial" w:cs="Arial"/>
                <w:sz w:val="24"/>
              </w:rPr>
              <w:t>Extended opening hours will continue to be offered by the practice.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737411" w:rsidP="00A243E1">
            <w:pPr>
              <w:pStyle w:val="Default"/>
              <w:tabs>
                <w:tab w:val="left" w:pos="142"/>
              </w:tabs>
              <w:rPr>
                <w:rFonts w:ascii="Arial" w:hAnsi="Arial" w:cs="Arial"/>
                <w:sz w:val="24"/>
              </w:rPr>
            </w:pPr>
            <w:r>
              <w:rPr>
                <w:rFonts w:ascii="Arial" w:hAnsi="Arial" w:cs="Arial"/>
                <w:sz w:val="24"/>
              </w:rPr>
              <w:t xml:space="preserve">Easier access for patients. </w:t>
            </w:r>
            <w:r w:rsidR="005C7ECC">
              <w:rPr>
                <w:rFonts w:ascii="Arial" w:hAnsi="Arial" w:cs="Arial"/>
                <w:sz w:val="24"/>
              </w:rPr>
              <w:t xml:space="preserve">Offering a variety of ways to access </w:t>
            </w:r>
            <w:r>
              <w:rPr>
                <w:rFonts w:ascii="Arial" w:hAnsi="Arial" w:cs="Arial"/>
                <w:sz w:val="24"/>
              </w:rPr>
              <w:t>services</w:t>
            </w:r>
            <w:r w:rsidR="005C7ECC">
              <w:rPr>
                <w:rFonts w:ascii="Arial" w:hAnsi="Arial" w:cs="Arial"/>
                <w:sz w:val="24"/>
              </w:rPr>
              <w:t xml:space="preserve">, </w:t>
            </w:r>
            <w:r w:rsidR="009A707B">
              <w:rPr>
                <w:rFonts w:ascii="Arial" w:hAnsi="Arial" w:cs="Arial"/>
                <w:sz w:val="24"/>
              </w:rPr>
              <w:t>i.e.</w:t>
            </w:r>
            <w:r w:rsidR="005C7ECC">
              <w:rPr>
                <w:rFonts w:ascii="Arial" w:hAnsi="Arial" w:cs="Arial"/>
                <w:sz w:val="24"/>
              </w:rPr>
              <w:t xml:space="preserve"> appointment</w:t>
            </w:r>
            <w:r>
              <w:rPr>
                <w:rFonts w:ascii="Arial" w:hAnsi="Arial" w:cs="Arial"/>
                <w:sz w:val="24"/>
              </w:rPr>
              <w:t>s, telephone consultations to improve patient access. Saturday morning clinics are available for both the GP and/</w:t>
            </w:r>
            <w:r w:rsidR="009A707B">
              <w:rPr>
                <w:rFonts w:ascii="Arial" w:hAnsi="Arial" w:cs="Arial"/>
                <w:sz w:val="24"/>
              </w:rPr>
              <w:t>or nurse</w:t>
            </w:r>
            <w:r>
              <w:rPr>
                <w:rFonts w:ascii="Arial" w:hAnsi="Arial" w:cs="Arial"/>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rPr>
              <w:lastRenderedPageBreak/>
              <w:br w:type="page"/>
            </w: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312BE1" w:rsidRDefault="00312BE1" w:rsidP="00A243E1">
            <w:pPr>
              <w:pStyle w:val="Default"/>
              <w:tabs>
                <w:tab w:val="left" w:pos="142"/>
              </w:tabs>
              <w:rPr>
                <w:rFonts w:ascii="Arial" w:hAnsi="Arial" w:cs="Arial"/>
                <w:sz w:val="24"/>
              </w:rPr>
            </w:pPr>
            <w:r>
              <w:rPr>
                <w:rFonts w:ascii="Arial" w:hAnsi="Arial" w:cs="Arial"/>
                <w:sz w:val="24"/>
              </w:rPr>
              <w:t>Concern raised on patient survey abou</w:t>
            </w:r>
            <w:r w:rsidR="00E7714A">
              <w:rPr>
                <w:rFonts w:ascii="Arial" w:hAnsi="Arial" w:cs="Arial"/>
                <w:sz w:val="24"/>
              </w:rPr>
              <w:t xml:space="preserve">t patients overhearing what </w:t>
            </w:r>
            <w:r>
              <w:rPr>
                <w:rFonts w:ascii="Arial" w:hAnsi="Arial" w:cs="Arial"/>
                <w:sz w:val="24"/>
              </w:rPr>
              <w:t>the reception</w:t>
            </w:r>
            <w:r w:rsidR="00E7714A">
              <w:rPr>
                <w:rFonts w:ascii="Arial" w:hAnsi="Arial" w:cs="Arial"/>
                <w:sz w:val="24"/>
              </w:rPr>
              <w:t>ists say.</w:t>
            </w:r>
          </w:p>
          <w:p w:rsidR="00312BE1" w:rsidRPr="002649FE" w:rsidRDefault="00312BE1" w:rsidP="00A243E1">
            <w:pPr>
              <w:pStyle w:val="Default"/>
              <w:tabs>
                <w:tab w:val="left" w:pos="142"/>
              </w:tabs>
              <w:rPr>
                <w:rFonts w:ascii="Arial" w:hAnsi="Arial" w:cs="Arial"/>
                <w:sz w:val="24"/>
              </w:rPr>
            </w:pPr>
            <w:r>
              <w:rPr>
                <w:rFonts w:ascii="Arial" w:hAnsi="Arial" w:cs="Arial"/>
                <w:sz w:val="24"/>
              </w:rPr>
              <w:t>73% said it was an issue but don’t mind, 15% said yes it is an issue and they are not happy about it.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57765C" w:rsidP="00A243E1">
            <w:pPr>
              <w:pStyle w:val="Default"/>
              <w:tabs>
                <w:tab w:val="left" w:pos="142"/>
              </w:tabs>
              <w:rPr>
                <w:rFonts w:ascii="Arial" w:hAnsi="Arial" w:cs="Arial"/>
                <w:sz w:val="24"/>
              </w:rPr>
            </w:pPr>
            <w:r>
              <w:rPr>
                <w:rFonts w:ascii="Arial" w:hAnsi="Arial" w:cs="Arial"/>
                <w:sz w:val="24"/>
              </w:rPr>
              <w:t xml:space="preserve">Staff reminded of confidentiality and that we can offer a private room for patients if they wish.  This is displayed at the reception desk. </w:t>
            </w:r>
          </w:p>
          <w:p w:rsidR="0057765C" w:rsidRPr="002649FE" w:rsidRDefault="0057765C" w:rsidP="00A243E1">
            <w:pPr>
              <w:pStyle w:val="Default"/>
              <w:tabs>
                <w:tab w:val="left" w:pos="142"/>
              </w:tabs>
              <w:rPr>
                <w:rFonts w:ascii="Arial" w:hAnsi="Arial" w:cs="Arial"/>
                <w:sz w:val="24"/>
              </w:rPr>
            </w:pPr>
            <w:r>
              <w:rPr>
                <w:rFonts w:ascii="Arial" w:hAnsi="Arial" w:cs="Arial"/>
                <w:sz w:val="24"/>
              </w:rPr>
              <w:t>The practice has also put in a partition between the reception front desk and the back office where reception staff answer telephones so that confidential calls are not overheard at the front desk by patients.</w:t>
            </w:r>
          </w:p>
          <w:p w:rsidR="00A75AE8" w:rsidRPr="002649FE" w:rsidRDefault="00A75AE8" w:rsidP="00A243E1">
            <w:pPr>
              <w:pStyle w:val="Default"/>
              <w:tabs>
                <w:tab w:val="left" w:pos="142"/>
              </w:tabs>
              <w:rPr>
                <w:rFonts w:ascii="Arial" w:hAnsi="Arial" w:cs="Arial"/>
                <w:sz w:val="24"/>
              </w:rPr>
            </w:pPr>
          </w:p>
          <w:p w:rsidR="00A75AE8" w:rsidRPr="002649FE" w:rsidRDefault="0057765C" w:rsidP="00A243E1">
            <w:pPr>
              <w:pStyle w:val="Default"/>
              <w:tabs>
                <w:tab w:val="left" w:pos="142"/>
              </w:tabs>
              <w:rPr>
                <w:rFonts w:ascii="Arial" w:hAnsi="Arial" w:cs="Arial"/>
                <w:sz w:val="24"/>
              </w:rPr>
            </w:pPr>
            <w:r>
              <w:rPr>
                <w:rFonts w:ascii="Arial" w:hAnsi="Arial" w:cs="Arial"/>
                <w:sz w:val="24"/>
              </w:rPr>
              <w:t xml:space="preserve">All staff </w:t>
            </w:r>
            <w:r w:rsidR="009A707B">
              <w:rPr>
                <w:rFonts w:ascii="Arial" w:hAnsi="Arial" w:cs="Arial"/>
                <w:sz w:val="24"/>
              </w:rPr>
              <w:t>receives</w:t>
            </w:r>
            <w:r>
              <w:rPr>
                <w:rFonts w:ascii="Arial" w:hAnsi="Arial" w:cs="Arial"/>
                <w:sz w:val="24"/>
              </w:rPr>
              <w:t xml:space="preserve"> confidentiality training.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57765C" w:rsidP="00A243E1">
            <w:pPr>
              <w:pStyle w:val="Default"/>
              <w:tabs>
                <w:tab w:val="left" w:pos="142"/>
              </w:tabs>
              <w:rPr>
                <w:rFonts w:ascii="Arial" w:hAnsi="Arial" w:cs="Arial"/>
                <w:sz w:val="24"/>
              </w:rPr>
            </w:pPr>
            <w:r>
              <w:rPr>
                <w:rFonts w:ascii="Arial" w:hAnsi="Arial" w:cs="Arial"/>
                <w:sz w:val="24"/>
              </w:rPr>
              <w:t xml:space="preserve">Patients to be confident that the practice does respect their privacy and </w:t>
            </w:r>
            <w:r w:rsidR="00B723C4">
              <w:rPr>
                <w:rFonts w:ascii="Arial" w:hAnsi="Arial" w:cs="Arial"/>
                <w:sz w:val="24"/>
              </w:rPr>
              <w:t xml:space="preserve">that they </w:t>
            </w:r>
            <w:r>
              <w:rPr>
                <w:rFonts w:ascii="Arial" w:hAnsi="Arial" w:cs="Arial"/>
                <w:sz w:val="24"/>
              </w:rPr>
              <w:t>can have confidence in speaking to staff</w:t>
            </w:r>
            <w:r w:rsidR="00B723C4">
              <w:rPr>
                <w:rFonts w:ascii="Arial" w:hAnsi="Arial" w:cs="Arial"/>
                <w:sz w:val="24"/>
              </w:rPr>
              <w:t xml:space="preserve"> in person or via the telephone confidentially.</w:t>
            </w:r>
            <w:r w:rsidR="00BB0011">
              <w:rPr>
                <w:rFonts w:ascii="Arial" w:hAnsi="Arial" w:cs="Arial"/>
                <w:sz w:val="24"/>
              </w:rPr>
              <w:t xml:space="preserve">  Notice is displayed in the reception area.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035916" w:rsidP="00A75AE8">
                            <w:r>
                              <w:t xml:space="preserve">The CCG continues to monitor waiting times at Hull and East Yorkshire </w:t>
                            </w:r>
                            <w:r w:rsidR="009A707B">
                              <w:t>Hospitals</w:t>
                            </w:r>
                            <w:r>
                              <w:t xml:space="preserve"> and have provided direct access to specific consultants for GPs.</w:t>
                            </w:r>
                          </w:p>
                          <w:p w:rsidR="00035916" w:rsidRDefault="00035916" w:rsidP="00A75AE8"/>
                          <w:p w:rsidR="00035916" w:rsidRDefault="00035916" w:rsidP="00A75AE8">
                            <w:r>
                              <w:t>Services in the community – the practice has NHS Health Trainers available in the practice and also a physiotherapist (6 month pilot).  We also continue to host counsellors and other providers depending on room capacity.</w:t>
                            </w:r>
                          </w:p>
                          <w:p w:rsidR="00035916" w:rsidRDefault="00035916" w:rsidP="00A75AE8"/>
                          <w:p w:rsidR="00035916" w:rsidRDefault="009A707B" w:rsidP="00A75AE8">
                            <w:r>
                              <w:t>Confidentiality</w:t>
                            </w:r>
                            <w:r w:rsidR="00035916">
                              <w:t xml:space="preserve"> in reception – Staff continue to receive training and awareness sessions on confidentiality.  An internal wall has been put up between the front desk and back reception so that conversations cannot be heard in the main reception area.</w:t>
                            </w:r>
                          </w:p>
                          <w:p w:rsidR="0029492C" w:rsidRDefault="0029492C" w:rsidP="00A75AE8"/>
                          <w:p w:rsidR="0029492C" w:rsidRDefault="0029492C" w:rsidP="00A75AE8">
                            <w:r>
                              <w:t>Text messaging service to continue and used to as appointment reminder service.</w:t>
                            </w:r>
                          </w:p>
                          <w:p w:rsidR="0029492C" w:rsidRDefault="0029492C" w:rsidP="00A75AE8"/>
                          <w:p w:rsidR="0029492C" w:rsidRDefault="0029492C" w:rsidP="00A75AE8">
                            <w:r>
                              <w:t>New patient self check-in system provided in the</w:t>
                            </w:r>
                            <w:r w:rsidR="007A3032">
                              <w:t xml:space="preserve"> reception area – so that patients do not have to wait to check in with the reception staff.</w:t>
                            </w:r>
                          </w:p>
                          <w:p w:rsidR="00E7714A" w:rsidRDefault="00E7714A" w:rsidP="00A75AE8"/>
                          <w:p w:rsidR="00E7714A" w:rsidRDefault="00E7714A" w:rsidP="00A75AE8">
                            <w:r>
                              <w:t>Continued promotion of our online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035916" w:rsidP="00A75AE8">
                      <w:r>
                        <w:t xml:space="preserve">The CCG continues to monitor waiting times at Hull and East Yorkshire </w:t>
                      </w:r>
                      <w:r w:rsidR="009A707B">
                        <w:t>Hospitals</w:t>
                      </w:r>
                      <w:r>
                        <w:t xml:space="preserve"> and have provided direct access to specific consultants for GPs.</w:t>
                      </w:r>
                    </w:p>
                    <w:p w:rsidR="00035916" w:rsidRDefault="00035916" w:rsidP="00A75AE8"/>
                    <w:p w:rsidR="00035916" w:rsidRDefault="00035916" w:rsidP="00A75AE8">
                      <w:r>
                        <w:t>Services in the community – the practice has NHS Health Trainers available in the practice and also a physiotherapist (6 month pilot).  We also continue to host counsellors and other providers depending on room capacity.</w:t>
                      </w:r>
                    </w:p>
                    <w:p w:rsidR="00035916" w:rsidRDefault="00035916" w:rsidP="00A75AE8"/>
                    <w:p w:rsidR="00035916" w:rsidRDefault="009A707B" w:rsidP="00A75AE8">
                      <w:r>
                        <w:t>Confidentiality</w:t>
                      </w:r>
                      <w:r w:rsidR="00035916">
                        <w:t xml:space="preserve"> in reception – Staff continue to receive training and awareness sessions on confidentiality.  An internal wall has been put up between the front desk and back reception so that conversations cannot be heard in the main reception area.</w:t>
                      </w:r>
                    </w:p>
                    <w:p w:rsidR="0029492C" w:rsidRDefault="0029492C" w:rsidP="00A75AE8"/>
                    <w:p w:rsidR="0029492C" w:rsidRDefault="0029492C" w:rsidP="00A75AE8">
                      <w:r>
                        <w:t>Text messaging service to continue and used to as appointment reminder service.</w:t>
                      </w:r>
                    </w:p>
                    <w:p w:rsidR="0029492C" w:rsidRDefault="0029492C" w:rsidP="00A75AE8"/>
                    <w:p w:rsidR="0029492C" w:rsidRDefault="0029492C" w:rsidP="00A75AE8">
                      <w:proofErr w:type="gramStart"/>
                      <w:r>
                        <w:t>New patient self check-in system provided in the</w:t>
                      </w:r>
                      <w:r w:rsidR="007A3032">
                        <w:t xml:space="preserve"> reception area – so that patients do not have to wait to check in with the reception staff.</w:t>
                      </w:r>
                      <w:proofErr w:type="gramEnd"/>
                    </w:p>
                    <w:p w:rsidR="00E7714A" w:rsidRDefault="00E7714A" w:rsidP="00A75AE8"/>
                    <w:p w:rsidR="00E7714A" w:rsidRDefault="00E7714A" w:rsidP="00A75AE8">
                      <w:proofErr w:type="gramStart"/>
                      <w:r>
                        <w:t>Continued promotion of our online services.</w:t>
                      </w:r>
                      <w:bookmarkStart w:id="1" w:name="_GoBack"/>
                      <w:bookmarkEnd w:id="1"/>
                      <w:proofErr w:type="gramEnd"/>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861C74" w:rsidP="00A243E1">
            <w:pPr>
              <w:pStyle w:val="Default"/>
              <w:tabs>
                <w:tab w:val="left" w:pos="142"/>
              </w:tabs>
              <w:rPr>
                <w:rFonts w:ascii="Arial" w:hAnsi="Arial" w:cs="Arial"/>
                <w:sz w:val="24"/>
              </w:rPr>
            </w:pPr>
            <w:r>
              <w:rPr>
                <w:rFonts w:ascii="Arial" w:hAnsi="Arial" w:cs="Arial"/>
                <w:sz w:val="24"/>
              </w:rPr>
              <w:t xml:space="preserve">Report signed off by PPG: </w:t>
            </w:r>
            <w:r w:rsidRPr="00861C74">
              <w:rPr>
                <w:rFonts w:ascii="Arial" w:hAnsi="Arial" w:cs="Arial"/>
                <w:b/>
                <w:sz w:val="24"/>
              </w:rPr>
              <w:t>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E37A25">
              <w:rPr>
                <w:rFonts w:ascii="Arial" w:hAnsi="Arial" w:cs="Arial"/>
                <w:sz w:val="24"/>
              </w:rPr>
              <w:t>23</w:t>
            </w:r>
            <w:r w:rsidR="004C3AE3">
              <w:rPr>
                <w:rFonts w:ascii="Arial" w:hAnsi="Arial" w:cs="Arial"/>
                <w:sz w:val="24"/>
              </w:rPr>
              <w:t xml:space="preserve"> March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4C3AE3">
              <w:rPr>
                <w:rFonts w:ascii="Arial" w:hAnsi="Arial" w:cs="Arial"/>
                <w:sz w:val="24"/>
              </w:rPr>
              <w:t xml:space="preserve"> </w:t>
            </w:r>
          </w:p>
          <w:p w:rsidR="004C3AE3" w:rsidRPr="002649FE" w:rsidRDefault="004C3AE3" w:rsidP="00A243E1">
            <w:pPr>
              <w:pStyle w:val="Default"/>
              <w:tabs>
                <w:tab w:val="left" w:pos="142"/>
              </w:tabs>
              <w:rPr>
                <w:rFonts w:ascii="Arial" w:hAnsi="Arial" w:cs="Arial"/>
                <w:sz w:val="24"/>
              </w:rPr>
            </w:pPr>
            <w:r>
              <w:rPr>
                <w:rFonts w:ascii="Arial" w:hAnsi="Arial" w:cs="Arial"/>
                <w:sz w:val="24"/>
              </w:rPr>
              <w:t>Via internet, face to face, paper surveys, FFT, patient comments and suggestion box, review of complaints. Care home patients have also been approached.</w:t>
            </w: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4C3AE3" w:rsidRPr="002649FE" w:rsidRDefault="004C3AE3" w:rsidP="00A243E1">
            <w:pPr>
              <w:pStyle w:val="Default"/>
              <w:tabs>
                <w:tab w:val="left" w:pos="142"/>
              </w:tabs>
              <w:rPr>
                <w:rFonts w:ascii="Arial" w:hAnsi="Arial" w:cs="Arial"/>
                <w:sz w:val="24"/>
              </w:rPr>
            </w:pPr>
            <w:r>
              <w:rPr>
                <w:rFonts w:ascii="Arial" w:hAnsi="Arial" w:cs="Arial"/>
                <w:sz w:val="24"/>
              </w:rPr>
              <w:t>Yes as above.</w:t>
            </w: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4C3AE3" w:rsidRPr="002649FE" w:rsidRDefault="004C3AE3" w:rsidP="00A243E1">
            <w:pPr>
              <w:pStyle w:val="Default"/>
              <w:tabs>
                <w:tab w:val="left" w:pos="142"/>
              </w:tabs>
              <w:rPr>
                <w:rFonts w:ascii="Arial" w:hAnsi="Arial" w:cs="Arial"/>
                <w:sz w:val="24"/>
              </w:rPr>
            </w:pPr>
            <w:r>
              <w:rPr>
                <w:rFonts w:ascii="Arial" w:hAnsi="Arial" w:cs="Arial"/>
                <w:sz w:val="24"/>
              </w:rPr>
              <w:t>Yes</w:t>
            </w: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4C3AE3" w:rsidRPr="002649FE" w:rsidRDefault="009A707B" w:rsidP="00A243E1">
            <w:pPr>
              <w:pStyle w:val="Default"/>
              <w:tabs>
                <w:tab w:val="left" w:pos="142"/>
              </w:tabs>
              <w:rPr>
                <w:rFonts w:ascii="Arial" w:hAnsi="Arial" w:cs="Arial"/>
                <w:sz w:val="24"/>
              </w:rPr>
            </w:pPr>
            <w:r>
              <w:rPr>
                <w:rFonts w:ascii="Arial" w:hAnsi="Arial" w:cs="Arial"/>
                <w:sz w:val="24"/>
              </w:rPr>
              <w:t>New pilot service offered for patient benefits.  Patients are routinely offered telephone consultations and online booking and facilities are encouraged which gives a greater range of access options.</w:t>
            </w:r>
          </w:p>
          <w:p w:rsidR="00A75AE8"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9A707B" w:rsidRPr="002649FE" w:rsidRDefault="009A707B" w:rsidP="00A243E1">
            <w:pPr>
              <w:pStyle w:val="Default"/>
              <w:tabs>
                <w:tab w:val="left" w:pos="142"/>
              </w:tabs>
              <w:rPr>
                <w:rFonts w:ascii="Arial" w:hAnsi="Arial" w:cs="Arial"/>
                <w:sz w:val="24"/>
              </w:rPr>
            </w:pPr>
            <w:r>
              <w:rPr>
                <w:rFonts w:ascii="Arial" w:hAnsi="Arial" w:cs="Arial"/>
                <w:sz w:val="24"/>
              </w:rPr>
              <w:t>We have struggled to recruit new members of the PPG but continue to promote and encourage new and current patients to join.  We offer post or email communications.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35916"/>
    <w:rsid w:val="000828FA"/>
    <w:rsid w:val="000A3E47"/>
    <w:rsid w:val="00135DAD"/>
    <w:rsid w:val="00154D68"/>
    <w:rsid w:val="001C5DAB"/>
    <w:rsid w:val="00202DDC"/>
    <w:rsid w:val="00207398"/>
    <w:rsid w:val="002649FE"/>
    <w:rsid w:val="00264A2F"/>
    <w:rsid w:val="0029492C"/>
    <w:rsid w:val="00312BE1"/>
    <w:rsid w:val="00316EA4"/>
    <w:rsid w:val="0034273D"/>
    <w:rsid w:val="003A220D"/>
    <w:rsid w:val="003C28EC"/>
    <w:rsid w:val="003E33D7"/>
    <w:rsid w:val="003F2651"/>
    <w:rsid w:val="004C3AE3"/>
    <w:rsid w:val="005238D2"/>
    <w:rsid w:val="00570D9B"/>
    <w:rsid w:val="0057765C"/>
    <w:rsid w:val="005C7ECC"/>
    <w:rsid w:val="006068E0"/>
    <w:rsid w:val="006422FF"/>
    <w:rsid w:val="006816FD"/>
    <w:rsid w:val="006A12B9"/>
    <w:rsid w:val="006A2766"/>
    <w:rsid w:val="00737411"/>
    <w:rsid w:val="007A3032"/>
    <w:rsid w:val="007E7D2C"/>
    <w:rsid w:val="00800900"/>
    <w:rsid w:val="0083610F"/>
    <w:rsid w:val="00846D92"/>
    <w:rsid w:val="008578FB"/>
    <w:rsid w:val="00861C74"/>
    <w:rsid w:val="008752EA"/>
    <w:rsid w:val="00877F70"/>
    <w:rsid w:val="008907EC"/>
    <w:rsid w:val="00902C10"/>
    <w:rsid w:val="009A6C69"/>
    <w:rsid w:val="009A707B"/>
    <w:rsid w:val="009D1225"/>
    <w:rsid w:val="00A46597"/>
    <w:rsid w:val="00A64080"/>
    <w:rsid w:val="00A64B9F"/>
    <w:rsid w:val="00A75AE8"/>
    <w:rsid w:val="00AA13FA"/>
    <w:rsid w:val="00AD65A9"/>
    <w:rsid w:val="00B723C4"/>
    <w:rsid w:val="00BB0011"/>
    <w:rsid w:val="00BB3B60"/>
    <w:rsid w:val="00BB3E0B"/>
    <w:rsid w:val="00C14D47"/>
    <w:rsid w:val="00CC21B8"/>
    <w:rsid w:val="00CF453E"/>
    <w:rsid w:val="00DA141D"/>
    <w:rsid w:val="00E37A25"/>
    <w:rsid w:val="00E7714A"/>
    <w:rsid w:val="00F73EDB"/>
    <w:rsid w:val="00FE2FF0"/>
    <w:rsid w:val="00FF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73E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D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73E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D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2</cp:revision>
  <cp:lastPrinted>2015-03-23T12:05:00Z</cp:lastPrinted>
  <dcterms:created xsi:type="dcterms:W3CDTF">2015-03-23T12:21:00Z</dcterms:created>
  <dcterms:modified xsi:type="dcterms:W3CDTF">2015-03-23T12:21:00Z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